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E92" w:rsidRPr="005C0896" w:rsidRDefault="00093E92" w:rsidP="00093E9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bookmarkStart w:id="0" w:name="_Hlk90986724"/>
      <w:r w:rsidRPr="005C0896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КОМУНАЛЬНЕ ПІДПРИЄМСТВО «ТЕРНІВСЬКЕ ЖИТЛОВО-КОМУНАЛЬНЕ ПІДПРИЄМСТВО»</w:t>
      </w:r>
    </w:p>
    <w:bookmarkEnd w:id="0"/>
    <w:p w:rsidR="00093E92" w:rsidRPr="005C0896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0896">
        <w:rPr>
          <w:rFonts w:ascii="Times New Roman" w:hAnsi="Times New Roman" w:cs="Times New Roman"/>
          <w:b/>
          <w:bCs/>
          <w:sz w:val="20"/>
          <w:szCs w:val="20"/>
        </w:rPr>
        <w:t xml:space="preserve">ОБҐРУНТУВАННЯ </w:t>
      </w:r>
    </w:p>
    <w:p w:rsidR="00093E92" w:rsidRPr="005C0896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0896">
        <w:rPr>
          <w:rFonts w:ascii="Times New Roman" w:hAnsi="Times New Roman" w:cs="Times New Roman"/>
          <w:bCs/>
          <w:sz w:val="20"/>
          <w:szCs w:val="20"/>
        </w:rPr>
        <w:t xml:space="preserve">технічних та якісних характеристик </w:t>
      </w:r>
      <w:r w:rsidRPr="005C0896">
        <w:rPr>
          <w:rFonts w:ascii="Times New Roman" w:hAnsi="Times New Roman" w:cs="Times New Roman"/>
          <w:sz w:val="20"/>
          <w:szCs w:val="20"/>
        </w:rPr>
        <w:t xml:space="preserve">закупівлі: </w:t>
      </w:r>
      <w:r w:rsidR="00774856" w:rsidRPr="00774856">
        <w:rPr>
          <w:rFonts w:ascii="Times New Roman" w:hAnsi="Times New Roman" w:cs="Times New Roman"/>
          <w:b/>
          <w:sz w:val="20"/>
          <w:szCs w:val="20"/>
        </w:rPr>
        <w:t>Запасні частини для ремонту автотранспорту</w:t>
      </w:r>
      <w:r w:rsidRPr="005C089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C0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0896">
        <w:rPr>
          <w:rFonts w:ascii="Times New Roman" w:hAnsi="Times New Roman" w:cs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093E92" w:rsidRPr="005C0896" w:rsidRDefault="00093E92" w:rsidP="00093E9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5C0896">
        <w:rPr>
          <w:rStyle w:val="a3"/>
          <w:rFonts w:ascii="Times New Roman" w:hAnsi="Times New Roman" w:cs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93E92" w:rsidRPr="005C0896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r w:rsidRPr="005C08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C0896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Комунальне підприємство «Тернівське житлово-комунальне підприємство; 51500, м. Тернівка, Павлоградський район, Дніпропетровської обл., вул. Героїв України, 29; 31657751; Юридичні особи, які забезпечують потреби держави або територіальної громади.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</w:p>
    <w:p w:rsidR="00774856" w:rsidRDefault="00093E92" w:rsidP="009E487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5C0896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5C08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5C0896" w:rsidRPr="005C0896">
        <w:rPr>
          <w:rFonts w:ascii="Times New Roman" w:hAnsi="Times New Roman" w:cs="Times New Roman"/>
          <w:sz w:val="20"/>
          <w:szCs w:val="20"/>
        </w:rPr>
        <w:t xml:space="preserve"> </w:t>
      </w:r>
      <w:r w:rsidR="00774856"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Запасні частини для ремонту автотранспорту</w:t>
      </w:r>
      <w:r w:rsid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:</w:t>
      </w:r>
    </w:p>
    <w:p w:rsidR="00774856" w:rsidRPr="00774856" w:rsidRDefault="00774856" w:rsidP="007748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bookmarkStart w:id="1" w:name="_Hlk202883428"/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Лот 1 – запасні частини на Автогрейдер ДЗ-122:</w:t>
      </w:r>
    </w:p>
    <w:p w:rsidR="00774856" w:rsidRPr="00774856" w:rsidRDefault="00774856" w:rsidP="007748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- </w:t>
      </w:r>
      <w:proofErr w:type="spellStart"/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Ступиця</w:t>
      </w:r>
      <w:proofErr w:type="spellEnd"/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з валом та шпонкою - 2шт</w:t>
      </w:r>
    </w:p>
    <w:p w:rsidR="00774856" w:rsidRPr="00774856" w:rsidRDefault="00774856" w:rsidP="007748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- Кардан (від коробки до двигуна) 0,8 м - 1 </w:t>
      </w:r>
      <w:proofErr w:type="spellStart"/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шт</w:t>
      </w:r>
      <w:proofErr w:type="spellEnd"/>
    </w:p>
    <w:p w:rsidR="00774856" w:rsidRPr="00774856" w:rsidRDefault="00774856" w:rsidP="007748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Лот 2 - запасні частини на МАN</w:t>
      </w:r>
      <w:bookmarkEnd w:id="1"/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:</w:t>
      </w:r>
    </w:p>
    <w:p w:rsidR="00774856" w:rsidRPr="00774856" w:rsidRDefault="00774856" w:rsidP="0077485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- Щітка металева на МАN - 2 </w:t>
      </w:r>
      <w:proofErr w:type="spellStart"/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шт</w:t>
      </w:r>
      <w:proofErr w:type="spellEnd"/>
    </w:p>
    <w:p w:rsidR="00774856" w:rsidRDefault="00774856" w:rsidP="00774856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- Щітка центральна пластмасова на МАN - 1 </w:t>
      </w:r>
      <w:proofErr w:type="spellStart"/>
      <w:r w:rsidRPr="007748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шт</w:t>
      </w:r>
      <w:r w:rsidR="00093E92" w:rsidRPr="005C0896">
        <w:rPr>
          <w:rFonts w:ascii="Times New Roman" w:hAnsi="Times New Roman" w:cs="Times New Roman"/>
          <w:bCs/>
          <w:i/>
          <w:sz w:val="20"/>
          <w:szCs w:val="20"/>
        </w:rPr>
        <w:t>,</w:t>
      </w:r>
      <w:proofErr w:type="spellEnd"/>
    </w:p>
    <w:p w:rsidR="00AC2FAE" w:rsidRPr="005C0896" w:rsidRDefault="00093E92" w:rsidP="0077485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5C0896">
        <w:rPr>
          <w:rFonts w:ascii="Times New Roman" w:hAnsi="Times New Roman" w:cs="Times New Roman"/>
          <w:bCs/>
          <w:i/>
          <w:sz w:val="20"/>
          <w:szCs w:val="20"/>
        </w:rPr>
        <w:t xml:space="preserve">за кодом </w:t>
      </w:r>
      <w:r w:rsidR="005C0896" w:rsidRPr="005C0896">
        <w:rPr>
          <w:rFonts w:ascii="Times New Roman" w:hAnsi="Times New Roman" w:cs="Times New Roman"/>
          <w:bCs/>
          <w:i/>
          <w:sz w:val="20"/>
          <w:szCs w:val="20"/>
        </w:rPr>
        <w:t xml:space="preserve">ДК 021:2015 </w:t>
      </w:r>
      <w:r w:rsidR="00774856" w:rsidRPr="00774856">
        <w:rPr>
          <w:rFonts w:ascii="Times New Roman" w:hAnsi="Times New Roman" w:cs="Times New Roman"/>
          <w:bCs/>
          <w:i/>
          <w:sz w:val="20"/>
          <w:szCs w:val="20"/>
        </w:rPr>
        <w:t>34330000-9 - Запасні частини для вантажних транспортних засобів, фургонів та легкових автомобілів</w:t>
      </w:r>
    </w:p>
    <w:p w:rsidR="002E09A1" w:rsidRPr="005C0896" w:rsidRDefault="002E09A1" w:rsidP="00AC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9A1" w:rsidRPr="00F849C8" w:rsidRDefault="00AC2FAE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849C8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proofErr w:type="spellStart"/>
      <w:r w:rsidR="00093E92" w:rsidRPr="00F849C8">
        <w:rPr>
          <w:rFonts w:ascii="Times New Roman" w:hAnsi="Times New Roman" w:cs="Times New Roman"/>
          <w:b/>
          <w:sz w:val="20"/>
          <w:szCs w:val="20"/>
        </w:rPr>
        <w:t>ид</w:t>
      </w:r>
      <w:proofErr w:type="spellEnd"/>
      <w:r w:rsidR="00093E92" w:rsidRPr="00F849C8">
        <w:rPr>
          <w:rFonts w:ascii="Times New Roman" w:hAnsi="Times New Roman" w:cs="Times New Roman"/>
          <w:b/>
          <w:sz w:val="20"/>
          <w:szCs w:val="20"/>
        </w:rPr>
        <w:t xml:space="preserve"> та ідентифікатор процедури закупівлі</w:t>
      </w:r>
      <w:r w:rsidR="00093E92" w:rsidRPr="00F849C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93E92" w:rsidRPr="00F849C8">
        <w:rPr>
          <w:rFonts w:ascii="Times New Roman" w:hAnsi="Times New Roman" w:cs="Times New Roman"/>
          <w:bCs/>
          <w:sz w:val="20"/>
          <w:szCs w:val="20"/>
        </w:rPr>
        <w:t>відкриті торги (з особливостями),</w:t>
      </w:r>
      <w:r w:rsidR="00093E92" w:rsidRPr="00F849C8">
        <w:rPr>
          <w:rFonts w:ascii="Times New Roman" w:hAnsi="Times New Roman" w:cs="Times New Roman"/>
          <w:sz w:val="20"/>
          <w:szCs w:val="20"/>
        </w:rPr>
        <w:t xml:space="preserve"> </w:t>
      </w:r>
      <w:r w:rsidR="002E09A1" w:rsidRPr="0064137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№ </w:t>
      </w:r>
      <w:r w:rsidR="00774856" w:rsidRPr="0077485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UA-2025-07-08-009650-a</w:t>
      </w:r>
    </w:p>
    <w:p w:rsidR="00852B08" w:rsidRPr="00F849C8" w:rsidRDefault="00852B08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77485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  <w:r w:rsidRPr="005C089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5C08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856" w:rsidRPr="00774856" w:rsidRDefault="00774856" w:rsidP="00774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856">
        <w:rPr>
          <w:rFonts w:ascii="Times New Roman" w:hAnsi="Times New Roman" w:cs="Times New Roman"/>
          <w:sz w:val="20"/>
          <w:szCs w:val="20"/>
        </w:rPr>
        <w:t>Лот 1 – запасні частини на Автогрейдер ДЗ-122:</w:t>
      </w:r>
      <w:r>
        <w:rPr>
          <w:rFonts w:ascii="Times New Roman" w:hAnsi="Times New Roman" w:cs="Times New Roman"/>
          <w:sz w:val="20"/>
          <w:szCs w:val="20"/>
        </w:rPr>
        <w:t xml:space="preserve"> 85 100 грн. 00 коп.</w:t>
      </w:r>
    </w:p>
    <w:p w:rsidR="00093E92" w:rsidRPr="005C0896" w:rsidRDefault="00774856" w:rsidP="007748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4856">
        <w:rPr>
          <w:rFonts w:ascii="Times New Roman" w:hAnsi="Times New Roman" w:cs="Times New Roman"/>
          <w:sz w:val="20"/>
          <w:szCs w:val="20"/>
        </w:rPr>
        <w:t>Лот 2 - запасні частини на МАN</w:t>
      </w:r>
      <w:r>
        <w:rPr>
          <w:rFonts w:ascii="Times New Roman" w:hAnsi="Times New Roman" w:cs="Times New Roman"/>
          <w:sz w:val="20"/>
          <w:szCs w:val="20"/>
        </w:rPr>
        <w:t>: 75</w:t>
      </w:r>
      <w:r w:rsidR="001F230A" w:rsidRPr="005C08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</w:t>
      </w:r>
      <w:r w:rsidR="005C0896" w:rsidRPr="005C0896">
        <w:rPr>
          <w:rFonts w:ascii="Times New Roman" w:hAnsi="Times New Roman" w:cs="Times New Roman"/>
          <w:sz w:val="20"/>
          <w:szCs w:val="20"/>
        </w:rPr>
        <w:t>0</w:t>
      </w:r>
      <w:r w:rsidR="001F230A" w:rsidRPr="005C0896">
        <w:rPr>
          <w:rFonts w:ascii="Times New Roman" w:hAnsi="Times New Roman" w:cs="Times New Roman"/>
          <w:sz w:val="20"/>
          <w:szCs w:val="20"/>
        </w:rPr>
        <w:t>0</w:t>
      </w:r>
      <w:r w:rsidR="00093E92"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 грн. 00 коп</w:t>
      </w:r>
      <w:r w:rsidR="00093E92" w:rsidRPr="005C089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896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5C0896">
        <w:rPr>
          <w:rFonts w:ascii="Times New Roman" w:hAnsi="Times New Roman" w:cs="Times New Roman"/>
          <w:sz w:val="20"/>
          <w:szCs w:val="20"/>
        </w:rPr>
        <w:t xml:space="preserve"> </w:t>
      </w:r>
      <w:r w:rsidRPr="005C0896">
        <w:rPr>
          <w:rFonts w:ascii="Times New Roman" w:eastAsia="Calibri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C0896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5C0896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5C089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9E4877" w:rsidRPr="009E4877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1</w:t>
      </w:r>
      <w:r w:rsidR="0077485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60</w:t>
      </w:r>
      <w:r w:rsidR="009E4877" w:rsidRPr="009E4877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77485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1</w:t>
      </w:r>
      <w:r w:rsidR="009E4877" w:rsidRPr="009E4877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00 </w:t>
      </w:r>
      <w:r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грн. 00 коп., </w:t>
      </w:r>
      <w:r w:rsidR="005C0896"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згідно з Рішенням Тернівської міської ради від 29.11.2024 № 819-38/VIII "Про бюджет Тернівської міської територіальної громади на 2025 рік".</w:t>
      </w:r>
    </w:p>
    <w:p w:rsidR="00F27CE5" w:rsidRPr="005C0896" w:rsidRDefault="00F27CE5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Pr="005C0896">
        <w:rPr>
          <w:rFonts w:ascii="Times New Roman" w:hAnsi="Times New Roman" w:cs="Times New Roman"/>
          <w:sz w:val="20"/>
          <w:szCs w:val="20"/>
        </w:rPr>
        <w:t xml:space="preserve">Термін постачання: </w:t>
      </w:r>
      <w:r w:rsidR="009E4877">
        <w:rPr>
          <w:rFonts w:ascii="Times New Roman" w:hAnsi="Times New Roman" w:cs="Times New Roman"/>
          <w:sz w:val="20"/>
          <w:szCs w:val="20"/>
        </w:rPr>
        <w:t xml:space="preserve">протягом </w:t>
      </w:r>
      <w:r w:rsidR="00774856">
        <w:rPr>
          <w:rFonts w:ascii="Times New Roman" w:hAnsi="Times New Roman" w:cs="Times New Roman"/>
          <w:sz w:val="20"/>
          <w:szCs w:val="20"/>
        </w:rPr>
        <w:t>3</w:t>
      </w:r>
      <w:r w:rsidR="009E4877">
        <w:rPr>
          <w:rFonts w:ascii="Times New Roman" w:hAnsi="Times New Roman" w:cs="Times New Roman"/>
          <w:sz w:val="20"/>
          <w:szCs w:val="20"/>
        </w:rPr>
        <w:t>0 (</w:t>
      </w:r>
      <w:r w:rsidR="00774856">
        <w:rPr>
          <w:rFonts w:ascii="Times New Roman" w:hAnsi="Times New Roman" w:cs="Times New Roman"/>
          <w:sz w:val="20"/>
          <w:szCs w:val="20"/>
        </w:rPr>
        <w:t>тридцяти</w:t>
      </w:r>
      <w:r w:rsidR="009E4877">
        <w:rPr>
          <w:rFonts w:ascii="Times New Roman" w:hAnsi="Times New Roman" w:cs="Times New Roman"/>
          <w:sz w:val="20"/>
          <w:szCs w:val="20"/>
        </w:rPr>
        <w:t>) робочих днів з дати укладання договору</w:t>
      </w:r>
      <w:r w:rsidRPr="005C0896">
        <w:rPr>
          <w:rFonts w:ascii="Times New Roman" w:hAnsi="Times New Roman" w:cs="Times New Roman"/>
          <w:sz w:val="20"/>
          <w:szCs w:val="20"/>
        </w:rPr>
        <w:t xml:space="preserve">, за </w:t>
      </w:r>
      <w:proofErr w:type="spellStart"/>
      <w:r w:rsidRPr="005C0896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5C0896">
        <w:rPr>
          <w:rFonts w:ascii="Times New Roman" w:hAnsi="Times New Roman" w:cs="Times New Roman"/>
          <w:sz w:val="20"/>
          <w:szCs w:val="20"/>
        </w:rPr>
        <w:t xml:space="preserve">: 51500, Україна, Дніпропетровська обл., Павлоградський район, м. Тернівка, </w:t>
      </w:r>
      <w:r w:rsidR="005C0896" w:rsidRPr="005C0896">
        <w:rPr>
          <w:rFonts w:ascii="Times New Roman" w:hAnsi="Times New Roman" w:cs="Times New Roman"/>
          <w:sz w:val="20"/>
          <w:szCs w:val="20"/>
        </w:rPr>
        <w:t>в</w:t>
      </w:r>
      <w:r w:rsidRPr="005C0896">
        <w:rPr>
          <w:rFonts w:ascii="Times New Roman" w:hAnsi="Times New Roman" w:cs="Times New Roman"/>
          <w:sz w:val="20"/>
          <w:szCs w:val="20"/>
        </w:rPr>
        <w:t>ул. </w:t>
      </w:r>
      <w:r w:rsidR="005C0896" w:rsidRPr="005C0896">
        <w:rPr>
          <w:rFonts w:ascii="Times New Roman" w:hAnsi="Times New Roman" w:cs="Times New Roman"/>
          <w:sz w:val="20"/>
          <w:szCs w:val="20"/>
        </w:rPr>
        <w:t>Героїв України, 29</w:t>
      </w:r>
      <w:r w:rsidRPr="005C0896">
        <w:rPr>
          <w:rFonts w:ascii="Times New Roman" w:hAnsi="Times New Roman" w:cs="Times New Roman"/>
          <w:sz w:val="20"/>
          <w:szCs w:val="20"/>
        </w:rPr>
        <w:t>.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якості. 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4856" w:rsidRPr="00003C51" w:rsidRDefault="00774856" w:rsidP="0077485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2" w:name="_Hlk187398822"/>
      <w:bookmarkStart w:id="3" w:name="_Hlk178599485"/>
      <w:bookmarkStart w:id="4" w:name="_Hlk201930984"/>
      <w:proofErr w:type="spellStart"/>
      <w:r w:rsidRPr="00003C51">
        <w:rPr>
          <w:rFonts w:ascii="Times New Roman" w:hAnsi="Times New Roman" w:cs="Times New Roman"/>
          <w:sz w:val="20"/>
          <w:szCs w:val="20"/>
        </w:rPr>
        <w:t>Детальний</w:t>
      </w:r>
      <w:proofErr w:type="spellEnd"/>
      <w:r w:rsidRPr="00003C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3C51">
        <w:rPr>
          <w:rFonts w:ascii="Times New Roman" w:hAnsi="Times New Roman" w:cs="Times New Roman"/>
          <w:sz w:val="20"/>
          <w:szCs w:val="20"/>
        </w:rPr>
        <w:t>опис</w:t>
      </w:r>
      <w:proofErr w:type="spellEnd"/>
      <w:r w:rsidRPr="00003C51">
        <w:rPr>
          <w:rFonts w:ascii="Times New Roman" w:hAnsi="Times New Roman" w:cs="Times New Roman"/>
          <w:sz w:val="20"/>
          <w:szCs w:val="20"/>
        </w:rPr>
        <w:t xml:space="preserve"> предмета </w:t>
      </w:r>
      <w:proofErr w:type="spellStart"/>
      <w:r w:rsidRPr="00003C51">
        <w:rPr>
          <w:rFonts w:ascii="Times New Roman" w:hAnsi="Times New Roman" w:cs="Times New Roman"/>
          <w:sz w:val="20"/>
          <w:szCs w:val="20"/>
        </w:rPr>
        <w:t>закупівлі</w:t>
      </w:r>
      <w:proofErr w:type="spellEnd"/>
      <w:r w:rsidRPr="00003C51">
        <w:rPr>
          <w:rFonts w:ascii="Times New Roman" w:hAnsi="Times New Roman" w:cs="Times New Roman"/>
          <w:sz w:val="20"/>
          <w:szCs w:val="20"/>
        </w:rPr>
        <w:t>:</w:t>
      </w:r>
    </w:p>
    <w:p w:rsidR="00774856" w:rsidRPr="00003C51" w:rsidRDefault="00774856" w:rsidP="00774856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003C51">
        <w:rPr>
          <w:rFonts w:ascii="Times New Roman" w:hAnsi="Times New Roman" w:cs="Times New Roman"/>
          <w:bCs/>
          <w:i/>
          <w:color w:val="auto"/>
          <w:sz w:val="20"/>
          <w:szCs w:val="20"/>
        </w:rPr>
        <w:t>Таблиця 1</w:t>
      </w:r>
    </w:p>
    <w:tbl>
      <w:tblPr>
        <w:tblStyle w:val="3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774856" w:rsidRPr="00003C51" w:rsidTr="00215109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Назва предмета закупівлі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8604D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Запасні частини для ремонту автотранспорту</w:t>
            </w:r>
          </w:p>
        </w:tc>
      </w:tr>
      <w:tr w:rsidR="00774856" w:rsidRPr="00003C51" w:rsidTr="00215109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Код </w:t>
            </w:r>
            <w:bookmarkStart w:id="5" w:name="_Hlk187399182"/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ДК 021:2015</w:t>
            </w:r>
            <w:bookmarkEnd w:id="5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6" w:name="_Hlk201930356"/>
            <w:r w:rsidRPr="002A700A">
              <w:rPr>
                <w:rFonts w:ascii="Times New Roman" w:eastAsia="Times New Roman" w:hAnsi="Times New Roman" w:cs="Times New Roman"/>
                <w:sz w:val="20"/>
                <w:szCs w:val="20"/>
              </w:rPr>
              <w:t>34330000-9 - Запасні частини для вантажних транспортних засобів, фургонів та легкових автомобілів</w:t>
            </w:r>
            <w:bookmarkEnd w:id="6"/>
          </w:p>
        </w:tc>
      </w:tr>
      <w:tr w:rsidR="00774856" w:rsidRPr="00003C51" w:rsidTr="00215109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</w:t>
            </w: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закупівлі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2A700A" w:rsidRDefault="00774856" w:rsidP="002151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Лот 1 – запасні частини на Автогрейдер ДЗ-122</w:t>
            </w:r>
          </w:p>
          <w:p w:rsidR="00774856" w:rsidRPr="00003C51" w:rsidRDefault="00774856" w:rsidP="002151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700A">
              <w:rPr>
                <w:rFonts w:ascii="Times New Roman" w:eastAsia="Times New Roman" w:hAnsi="Times New Roman" w:cs="Times New Roman"/>
                <w:sz w:val="20"/>
                <w:szCs w:val="20"/>
              </w:rPr>
              <w:t>Лот 1 - запасні частини на МАN</w:t>
            </w:r>
          </w:p>
        </w:tc>
      </w:tr>
      <w:tr w:rsidR="00774856" w:rsidRPr="00003C51" w:rsidTr="00215109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Кількість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2A700A" w:rsidRDefault="00774856" w:rsidP="002151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Лот 1 – запасні частини на Автогрейдер ДЗ-122</w:t>
            </w:r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774856" w:rsidRPr="002A700A" w:rsidRDefault="00774856" w:rsidP="002151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Ступиця</w:t>
            </w:r>
            <w:proofErr w:type="spellEnd"/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валом та шпонкою - 2шт</w:t>
            </w:r>
          </w:p>
          <w:p w:rsidR="00774856" w:rsidRPr="002A700A" w:rsidRDefault="00774856" w:rsidP="002151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Кардан (від коробки до двигуна) 0,8 м - 1 </w:t>
            </w:r>
            <w:proofErr w:type="spellStart"/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774856" w:rsidRPr="002A700A" w:rsidRDefault="00774856" w:rsidP="002151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Лот 2 - запасні частини на МАN:</w:t>
            </w:r>
          </w:p>
          <w:p w:rsidR="00774856" w:rsidRPr="002A700A" w:rsidRDefault="00774856" w:rsidP="002151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Щітка металева на МАN - 2 </w:t>
            </w:r>
            <w:proofErr w:type="spellStart"/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774856" w:rsidRPr="00003C51" w:rsidRDefault="00774856" w:rsidP="002151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Щітка центральна пластмасова на МАN - 1 </w:t>
            </w:r>
            <w:proofErr w:type="spellStart"/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</w:tc>
      </w:tr>
      <w:tr w:rsidR="00774856" w:rsidRPr="00003C51" w:rsidTr="00215109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Місце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м. Тернівка, Павлоградський район, Дніпропетровська область,</w:t>
            </w:r>
          </w:p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вул. Героїв України, 29, Україна, 51500</w:t>
            </w:r>
          </w:p>
        </w:tc>
      </w:tr>
      <w:tr w:rsidR="00774856" w:rsidRPr="00003C51" w:rsidTr="00215109">
        <w:trPr>
          <w:trHeight w:val="554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Строк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4856" w:rsidRPr="00003C51" w:rsidRDefault="00774856" w:rsidP="002151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</w:rPr>
              <w:t>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тридцяти</w:t>
            </w: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</w:rPr>
              <w:t>) робочих днів з дати укладення договору</w:t>
            </w:r>
          </w:p>
        </w:tc>
      </w:tr>
    </w:tbl>
    <w:p w:rsidR="00774856" w:rsidRPr="00003C51" w:rsidRDefault="00774856" w:rsidP="00774856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003C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Предмет </w:t>
      </w:r>
      <w:proofErr w:type="spellStart"/>
      <w:r w:rsidRPr="00003C51">
        <w:rPr>
          <w:rFonts w:ascii="Times New Roman" w:eastAsia="Times New Roman" w:hAnsi="Times New Roman" w:cs="Times New Roman"/>
          <w:sz w:val="20"/>
          <w:szCs w:val="20"/>
          <w:highlight w:val="white"/>
        </w:rPr>
        <w:t>закупівлі</w:t>
      </w:r>
      <w:proofErr w:type="spellEnd"/>
      <w:r w:rsidRPr="00003C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повинен </w:t>
      </w:r>
      <w:proofErr w:type="spellStart"/>
      <w:r w:rsidRPr="00003C51">
        <w:rPr>
          <w:rFonts w:ascii="Times New Roman" w:eastAsia="Times New Roman" w:hAnsi="Times New Roman" w:cs="Times New Roman"/>
          <w:sz w:val="20"/>
          <w:szCs w:val="20"/>
          <w:highlight w:val="white"/>
        </w:rPr>
        <w:t>відповідати</w:t>
      </w:r>
      <w:proofErr w:type="spellEnd"/>
      <w:r w:rsidRPr="00003C51">
        <w:rPr>
          <w:rFonts w:ascii="Times New Roman" w:eastAsia="Times New Roman" w:hAnsi="Times New Roman" w:cs="Times New Roman"/>
          <w:sz w:val="20"/>
          <w:szCs w:val="20"/>
          <w:highlight w:val="white"/>
        </w:rPr>
        <w:t>:</w:t>
      </w:r>
    </w:p>
    <w:p w:rsidR="00774856" w:rsidRPr="00003C51" w:rsidRDefault="00774856" w:rsidP="00774856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003C51">
        <w:rPr>
          <w:rFonts w:ascii="Times New Roman" w:hAnsi="Times New Roman" w:cs="Times New Roman"/>
          <w:bCs/>
          <w:i/>
          <w:color w:val="auto"/>
          <w:sz w:val="20"/>
          <w:szCs w:val="20"/>
        </w:rPr>
        <w:t>Таблиця 2</w:t>
      </w:r>
    </w:p>
    <w:tbl>
      <w:tblPr>
        <w:tblW w:w="952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517"/>
        <w:gridCol w:w="1879"/>
        <w:gridCol w:w="2127"/>
        <w:gridCol w:w="1275"/>
        <w:gridCol w:w="1134"/>
      </w:tblGrid>
      <w:tr w:rsidR="00774856" w:rsidRPr="00003C51" w:rsidTr="00215109">
        <w:trPr>
          <w:trHeight w:val="2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 з/п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Найменування запропонованого товару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Найменування та країна виробника*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Країна та місце походження*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hAnsi="Times New Roman" w:cs="Times New Roman"/>
                <w:bCs/>
                <w:sz w:val="20"/>
                <w:szCs w:val="20"/>
              </w:rPr>
              <w:t>Одиниця виміру</w:t>
            </w:r>
          </w:p>
        </w:tc>
      </w:tr>
      <w:tr w:rsidR="00774856" w:rsidRPr="00003C51" w:rsidTr="00215109">
        <w:trPr>
          <w:trHeight w:val="33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Ступиця</w:t>
            </w:r>
            <w:proofErr w:type="spellEnd"/>
            <w:r w:rsidRPr="002A70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валом та шпонкою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</w:t>
            </w:r>
            <w:proofErr w:type="spellEnd"/>
          </w:p>
        </w:tc>
      </w:tr>
      <w:tr w:rsidR="00774856" w:rsidRPr="00003C51" w:rsidTr="00215109">
        <w:trPr>
          <w:trHeight w:val="35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856" w:rsidRPr="00003C51" w:rsidRDefault="00774856" w:rsidP="00215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</w:rPr>
              <w:t>Кардан (від коробки до двигуна) 0,8 м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</w:t>
            </w:r>
            <w:proofErr w:type="spellEnd"/>
          </w:p>
        </w:tc>
      </w:tr>
      <w:tr w:rsidR="00774856" w:rsidRPr="00003C51" w:rsidTr="00215109">
        <w:trPr>
          <w:trHeight w:val="1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856" w:rsidRPr="00003C51" w:rsidRDefault="00774856" w:rsidP="00215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</w:rPr>
              <w:t>Щітка металева на МАN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</w:t>
            </w:r>
            <w:proofErr w:type="spellEnd"/>
          </w:p>
        </w:tc>
      </w:tr>
      <w:tr w:rsidR="00774856" w:rsidRPr="00003C51" w:rsidTr="00215109">
        <w:trPr>
          <w:trHeight w:val="8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03C5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856" w:rsidRPr="00003C51" w:rsidRDefault="00774856" w:rsidP="00215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00A">
              <w:rPr>
                <w:rFonts w:ascii="Times New Roman" w:hAnsi="Times New Roman" w:cs="Times New Roman"/>
                <w:sz w:val="20"/>
                <w:szCs w:val="20"/>
              </w:rPr>
              <w:t>Щітка центральна пластмасова на МАN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856" w:rsidRPr="00003C51" w:rsidRDefault="00774856" w:rsidP="0021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03C5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</w:tbl>
    <w:p w:rsidR="00774856" w:rsidRPr="00A04F3F" w:rsidRDefault="00774856" w:rsidP="00774856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0"/>
          <w:szCs w:val="20"/>
        </w:rPr>
      </w:pPr>
      <w:r w:rsidRPr="00A04F3F">
        <w:rPr>
          <w:rFonts w:ascii="Times New Roman" w:eastAsia="Times New Roman" w:hAnsi="Times New Roman" w:cs="Times New Roman"/>
          <w:i/>
          <w:snapToGrid w:val="0"/>
          <w:color w:val="auto"/>
          <w:sz w:val="20"/>
          <w:szCs w:val="20"/>
        </w:rPr>
        <w:t xml:space="preserve"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тощо, кількість одиниць виміру. </w:t>
      </w:r>
    </w:p>
    <w:p w:rsidR="00774856" w:rsidRPr="00A04F3F" w:rsidRDefault="00774856" w:rsidP="00774856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0"/>
          <w:szCs w:val="20"/>
        </w:rPr>
      </w:pPr>
      <w:r w:rsidRPr="00A04F3F">
        <w:rPr>
          <w:rFonts w:ascii="Times New Roman" w:eastAsia="Times New Roman" w:hAnsi="Times New Roman" w:cs="Times New Roman"/>
          <w:i/>
          <w:snapToGrid w:val="0"/>
          <w:color w:val="auto"/>
          <w:sz w:val="20"/>
          <w:szCs w:val="20"/>
        </w:rPr>
        <w:t xml:space="preserve">**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 </w:t>
      </w:r>
    </w:p>
    <w:p w:rsidR="00774856" w:rsidRPr="002A700A" w:rsidRDefault="00774856" w:rsidP="00774856">
      <w:pPr>
        <w:pStyle w:val="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bookmarkEnd w:id="3"/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Якість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 повинна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вимогам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відповідних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діючих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нормативних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документів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(ГОСТ, ДСТУ, ТУ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тощо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). Товар не повинен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вміщувати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сторонніх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забруднюючих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домішок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випадку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якщо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поставлений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виявиться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неякісним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або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таким,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що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не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відповідає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вимогам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Замовника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Учасник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зобов’язаний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замінити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цей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товар.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Учасник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гарантує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bookmarkStart w:id="7" w:name="_GoBack"/>
      <w:bookmarkEnd w:id="7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егайну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заміну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неякісного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товару.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Всі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витрати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пов’язані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із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заміною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неналежної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якості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несе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Учасник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Товар повинен бути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новим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та не бути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використаним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або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регенерованим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виготовленим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шляхом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відновлення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бувшому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використанні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також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встановленим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вимогам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заводу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виробника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щодо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транспортування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зберігання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Товар повинен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вимогам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діючих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стандартів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України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Товар повинен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містити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маркування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відповідно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стандартів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виробника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яке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надає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змогу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ідентифікувати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його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походження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дату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виробництва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Товар повинен бути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запакований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без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механічних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пошкоджень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Гарантійний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термін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зберігання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– не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менше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12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місяців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виробництва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На момент поставки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термін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придатності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споживання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 повинен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складати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не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менше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80% до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загального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терміну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придатності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споживання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Товар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постачається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умовах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DDP Інкотермс-2010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протягом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3</w:t>
      </w:r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0-ти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Arial" w:hAnsi="Times New Roman" w:cs="Times New Roman"/>
          <w:color w:val="000000"/>
          <w:sz w:val="20"/>
          <w:szCs w:val="20"/>
        </w:rPr>
        <w:t>тридцяти</w:t>
      </w:r>
      <w:proofErr w:type="spellEnd"/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робочих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днів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укладення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договору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Замовника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на адресу</w:t>
      </w:r>
      <w:proofErr w:type="gram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: 51500,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Україна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Дніпропетровська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область,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Павлоградський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район, м. 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Тернівка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вул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Героїв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України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, 29.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Замовник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залишає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за собою право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зменшити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кількість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після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укладання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договору 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разі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зменшення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бюджетного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фінансування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 xml:space="preserve">При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поставці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необхідно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надавати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гарантії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якості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товару, а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саме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кожну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партію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Товару повинен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супроводжувати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документ про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якість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та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відповідність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ДСТУ/ТУ (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надати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копію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паспорту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якості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сертифікату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відповідності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інше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A04F3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якщо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це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передбачено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діючим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законодавством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A04F3F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w:t>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Ціна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 товар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має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бути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визначена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урахуванням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податків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зборів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що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сплачуються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або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мають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бути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сплачені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також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інших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витрат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визначених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законодавством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для товару</w:t>
      </w:r>
      <w:proofErr w:type="gram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даного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виду,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транспортні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витрати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 доставку товару (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власним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транспортом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постачальника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або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підприємством-перевізником</w:t>
      </w:r>
      <w:proofErr w:type="spellEnd"/>
      <w:r w:rsidRPr="00A04F3F">
        <w:rPr>
          <w:rFonts w:ascii="Times New Roman" w:eastAsia="Arial" w:hAnsi="Times New Roman" w:cs="Times New Roman"/>
          <w:color w:val="000000"/>
          <w:sz w:val="20"/>
          <w:szCs w:val="20"/>
        </w:rPr>
        <w:t>).</w:t>
      </w:r>
    </w:p>
    <w:p w:rsidR="00774856" w:rsidRPr="00A04F3F" w:rsidRDefault="00774856" w:rsidP="00774856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04F3F">
        <w:rPr>
          <w:rFonts w:ascii="Times New Roman" w:hAnsi="Times New Roman" w:cs="Times New Roman"/>
          <w:b/>
          <w:bCs/>
          <w:sz w:val="20"/>
          <w:szCs w:val="20"/>
        </w:rPr>
        <w:t>Умови</w:t>
      </w:r>
      <w:proofErr w:type="spellEnd"/>
      <w:r w:rsidRPr="00A04F3F">
        <w:rPr>
          <w:rFonts w:ascii="Times New Roman" w:hAnsi="Times New Roman" w:cs="Times New Roman"/>
          <w:b/>
          <w:bCs/>
          <w:sz w:val="20"/>
          <w:szCs w:val="20"/>
        </w:rPr>
        <w:t xml:space="preserve"> оплати:</w:t>
      </w:r>
      <w:r w:rsidRPr="00A04F3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Замовник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сплачує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Учаснику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A04F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  <w:shd w:val="clear" w:color="auto" w:fill="FFFFFF"/>
        </w:rPr>
        <w:t>розрахунковий</w:t>
      </w:r>
      <w:proofErr w:type="spellEnd"/>
      <w:r w:rsidRPr="00A04F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  <w:shd w:val="clear" w:color="auto" w:fill="FFFFFF"/>
        </w:rPr>
        <w:t>рахунок</w:t>
      </w:r>
      <w:proofErr w:type="spellEnd"/>
      <w:r w:rsidRPr="00A04F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відповідну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суму за товар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після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одержання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товару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протягом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15 (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п’ятнадцяти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робочих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днів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дати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надходження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бюджетного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розрахункових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рахунок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4F3F">
        <w:rPr>
          <w:rFonts w:ascii="Times New Roman" w:hAnsi="Times New Roman" w:cs="Times New Roman"/>
          <w:sz w:val="20"/>
          <w:szCs w:val="20"/>
        </w:rPr>
        <w:t>замовника</w:t>
      </w:r>
      <w:proofErr w:type="spellEnd"/>
      <w:r w:rsidRPr="00A04F3F">
        <w:rPr>
          <w:rFonts w:ascii="Times New Roman" w:hAnsi="Times New Roman" w:cs="Times New Roman"/>
          <w:sz w:val="20"/>
          <w:szCs w:val="20"/>
        </w:rPr>
        <w:t>.</w:t>
      </w:r>
    </w:p>
    <w:bookmarkEnd w:id="4"/>
    <w:p w:rsidR="00774856" w:rsidRPr="002A700A" w:rsidRDefault="00774856" w:rsidP="007748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4856" w:rsidRPr="002A700A" w:rsidRDefault="00774856" w:rsidP="00774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місцях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де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технічна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на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стандартні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характеристики,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регламенти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вимоги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умовні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позначення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термінологію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пов’язані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 товарами, роботами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чи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послугами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закуповуються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передбачені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існуючими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міжнародними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спільними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нормами,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еталонними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системами,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визнаними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органами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стандартизації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національними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нормами та правилами,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біля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кожного такого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вважати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вираз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». </w:t>
      </w:r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Таким чином, </w:t>
      </w:r>
      <w:proofErr w:type="spellStart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вважається</w:t>
      </w:r>
      <w:proofErr w:type="spellEnd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що</w:t>
      </w:r>
      <w:proofErr w:type="spellEnd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до кожного </w:t>
      </w:r>
      <w:proofErr w:type="spellStart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посилання</w:t>
      </w:r>
      <w:proofErr w:type="spellEnd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додається</w:t>
      </w:r>
      <w:proofErr w:type="spellEnd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вираз</w:t>
      </w:r>
      <w:proofErr w:type="spellEnd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«</w:t>
      </w:r>
      <w:proofErr w:type="spellStart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або</w:t>
      </w:r>
      <w:proofErr w:type="spellEnd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еквівалент</w:t>
      </w:r>
      <w:proofErr w:type="spellEnd"/>
      <w:r w:rsidRPr="002A700A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».</w:t>
      </w:r>
    </w:p>
    <w:p w:rsidR="001E333A" w:rsidRPr="009E4877" w:rsidRDefault="00774856" w:rsidP="007748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до того,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додатково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у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складі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тендерної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пропозиції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Учасник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надає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таблицю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складену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в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довільні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формі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, яка у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порівняльному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вигляді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містить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відомості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щодо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основних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технічних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та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>якісних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  <w:t xml:space="preserve"> характеристик товару</w:t>
      </w:r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еквівалентного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При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цьому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якість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запропонованого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еквівалента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має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відповідати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якості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заявлена в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технічній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Замовника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повинна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точну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У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випадку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буде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зазначено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буде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словосполучення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» (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наприклад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автомобіль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Renault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Duster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),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тендерна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такого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учасника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вважається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як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така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не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відповідає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умовам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технічної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2A700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</w:p>
    <w:sectPr w:rsidR="001E333A" w:rsidRPr="009E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7BF0"/>
    <w:multiLevelType w:val="multilevel"/>
    <w:tmpl w:val="E52690C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" w15:restartNumberingAfterBreak="0">
    <w:nsid w:val="41912143"/>
    <w:multiLevelType w:val="multilevel"/>
    <w:tmpl w:val="4E72E92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450632DA"/>
    <w:multiLevelType w:val="multilevel"/>
    <w:tmpl w:val="365258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4DF27E3D"/>
    <w:multiLevelType w:val="hybridMultilevel"/>
    <w:tmpl w:val="472A964C"/>
    <w:lvl w:ilvl="0" w:tplc="2D404C94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676A1DFA"/>
    <w:multiLevelType w:val="hybridMultilevel"/>
    <w:tmpl w:val="7C9866F0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7"/>
    <w:rsid w:val="00077978"/>
    <w:rsid w:val="00093E92"/>
    <w:rsid w:val="00107152"/>
    <w:rsid w:val="00135E33"/>
    <w:rsid w:val="001570DF"/>
    <w:rsid w:val="001C62E7"/>
    <w:rsid w:val="001E333A"/>
    <w:rsid w:val="001F230A"/>
    <w:rsid w:val="0026663B"/>
    <w:rsid w:val="002E09A1"/>
    <w:rsid w:val="003E4A47"/>
    <w:rsid w:val="00574137"/>
    <w:rsid w:val="005C0896"/>
    <w:rsid w:val="005D0425"/>
    <w:rsid w:val="0063220C"/>
    <w:rsid w:val="0064137D"/>
    <w:rsid w:val="00675914"/>
    <w:rsid w:val="00774856"/>
    <w:rsid w:val="00794257"/>
    <w:rsid w:val="008412D9"/>
    <w:rsid w:val="00852B08"/>
    <w:rsid w:val="008D430C"/>
    <w:rsid w:val="009C74BD"/>
    <w:rsid w:val="009E4877"/>
    <w:rsid w:val="00AC2FAE"/>
    <w:rsid w:val="00C94F98"/>
    <w:rsid w:val="00EA1506"/>
    <w:rsid w:val="00F27CE5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B7C2"/>
  <w15:chartTrackingRefBased/>
  <w15:docId w15:val="{EEDA40B2-00B3-4C42-B190-D8CB77C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93E92"/>
    <w:rPr>
      <w:i/>
      <w:iCs/>
    </w:rPr>
  </w:style>
  <w:style w:type="paragraph" w:styleId="a4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5"/>
    <w:uiPriority w:val="99"/>
    <w:qFormat/>
    <w:rsid w:val="00093E92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4"/>
    <w:uiPriority w:val="99"/>
    <w:locked/>
    <w:rsid w:val="00093E92"/>
  </w:style>
  <w:style w:type="table" w:customStyle="1" w:styleId="3">
    <w:name w:val="3"/>
    <w:basedOn w:val="a1"/>
    <w:rsid w:val="005C0896"/>
    <w:pPr>
      <w:spacing w:line="254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a1"/>
    <w:rsid w:val="009E4877"/>
    <w:pPr>
      <w:spacing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a1"/>
    <w:rsid w:val="00077978"/>
    <w:pPr>
      <w:spacing w:after="0"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Обычный1"/>
    <w:qFormat/>
    <w:rsid w:val="00774856"/>
    <w:pPr>
      <w:spacing w:after="0" w:line="276" w:lineRule="auto"/>
    </w:pPr>
    <w:rPr>
      <w:rFonts w:ascii="Arial" w:eastAsia="Arial" w:hAnsi="Arial" w:cs="Arial"/>
      <w:color w:val="00000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dcterms:created xsi:type="dcterms:W3CDTF">2025-07-08T13:07:00Z</dcterms:created>
  <dcterms:modified xsi:type="dcterms:W3CDTF">2025-07-08T13:12:00Z</dcterms:modified>
</cp:coreProperties>
</file>