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4F925F26"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A42C8B" w:rsidRPr="00A42C8B">
        <w:rPr>
          <w:rFonts w:ascii="Times New Roman" w:hAnsi="Times New Roman" w:cs="Times New Roman"/>
          <w:b/>
          <w:bCs/>
        </w:rPr>
        <w:t>Поточний ремонт внутрішньоквартального проїзду від вул. Пушкіна до вул. Лермонтова 12а, S-496</w:t>
      </w:r>
      <w:r w:rsidRPr="00762AA6">
        <w:rPr>
          <w:rFonts w:ascii="Times New Roman" w:hAnsi="Times New Roman" w:cs="Times New Roman"/>
          <w:b/>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544ABE60"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A42C8B" w:rsidRPr="00A42C8B">
        <w:rPr>
          <w:rFonts w:ascii="Times New Roman" w:eastAsia="Times New Roman" w:hAnsi="Times New Roman" w:cs="Times New Roman"/>
          <w:i/>
          <w:lang w:eastAsia="ru-RU"/>
        </w:rPr>
        <w:t xml:space="preserve">Поточний ремонт внутрішньоквартального проїзду від вул. Пушкіна до вул. Лермонтова 12а, S-496 </w:t>
      </w:r>
      <w:r w:rsidR="004241FB" w:rsidRPr="00762AA6">
        <w:rPr>
          <w:rFonts w:ascii="Times New Roman" w:eastAsia="Times New Roman" w:hAnsi="Times New Roman" w:cs="Times New Roman"/>
          <w:i/>
          <w:lang w:eastAsia="ru-RU"/>
        </w:rPr>
        <w:t xml:space="preserve"> – 1 послуга, за кодом ДК 021:2015 </w:t>
      </w:r>
      <w:r w:rsidR="00A42C8B" w:rsidRPr="00A42C8B">
        <w:rPr>
          <w:rFonts w:ascii="Times New Roman" w:eastAsia="Times New Roman" w:hAnsi="Times New Roman" w:cs="Times New Roman"/>
          <w:i/>
          <w:lang w:eastAsia="ru-RU"/>
        </w:rPr>
        <w:t>45230000-8 - Будівництво трубопроводів, ліній зв’язку та електропередач,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3ECF31C3" w14:textId="10040C4F" w:rsidR="00762AA6" w:rsidRDefault="00A42C8B" w:rsidP="004518F7">
      <w:pPr>
        <w:spacing w:after="0" w:line="240" w:lineRule="auto"/>
        <w:jc w:val="both"/>
        <w:rPr>
          <w:rFonts w:ascii="Times New Roman" w:hAnsi="Times New Roman" w:cs="Times New Roman"/>
          <w:b/>
          <w:shd w:val="clear" w:color="auto" w:fill="FFFFFF"/>
        </w:rPr>
      </w:pPr>
      <w:r w:rsidRPr="00A42C8B">
        <w:rPr>
          <w:rFonts w:ascii="Times New Roman" w:hAnsi="Times New Roman" w:cs="Times New Roman"/>
          <w:b/>
          <w:shd w:val="clear" w:color="auto" w:fill="FFFFFF"/>
        </w:rPr>
        <w:t>UA-2023-05-18-015496-a</w:t>
      </w:r>
    </w:p>
    <w:p w14:paraId="0658DEFC" w14:textId="77777777" w:rsidR="00A42C8B" w:rsidRPr="00762AA6" w:rsidRDefault="00A42C8B" w:rsidP="004518F7">
      <w:pPr>
        <w:spacing w:after="0" w:line="240" w:lineRule="auto"/>
        <w:jc w:val="both"/>
        <w:rPr>
          <w:rFonts w:ascii="Times New Roman" w:hAnsi="Times New Roman" w:cs="Times New Roman"/>
          <w:b/>
          <w:highlight w:val="yellow"/>
          <w:shd w:val="clear" w:color="auto" w:fill="FFFFFF"/>
        </w:rPr>
      </w:pPr>
    </w:p>
    <w:p w14:paraId="4E9336F8" w14:textId="175868BB"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r w:rsidR="00A42C8B" w:rsidRPr="00D05B79">
        <w:rPr>
          <w:rFonts w:ascii="Times New Roman" w:hAnsi="Times New Roman" w:cs="Times New Roman"/>
        </w:rPr>
        <w:t>605</w:t>
      </w:r>
      <w:r w:rsidR="00A42C8B">
        <w:rPr>
          <w:rFonts w:ascii="Times New Roman" w:hAnsi="Times New Roman" w:cs="Times New Roman"/>
          <w:lang w:val="ru-RU"/>
        </w:rPr>
        <w:t> </w:t>
      </w:r>
      <w:r w:rsidR="00A42C8B" w:rsidRPr="00D05B79">
        <w:rPr>
          <w:rFonts w:ascii="Times New Roman" w:hAnsi="Times New Roman" w:cs="Times New Roman"/>
        </w:rPr>
        <w:t xml:space="preserve">841 </w:t>
      </w:r>
      <w:r w:rsidR="004241FB" w:rsidRPr="00762AA6">
        <w:rPr>
          <w:rFonts w:ascii="Times New Roman" w:eastAsia="Times New Roman" w:hAnsi="Times New Roman" w:cs="Times New Roman"/>
          <w:bCs/>
          <w:lang w:eastAsia="uk-UA"/>
        </w:rPr>
        <w:t>грн. </w:t>
      </w:r>
      <w:r w:rsidR="00A42C8B" w:rsidRPr="00D05B79">
        <w:rPr>
          <w:rFonts w:ascii="Times New Roman" w:eastAsia="Times New Roman" w:hAnsi="Times New Roman" w:cs="Times New Roman"/>
          <w:bCs/>
          <w:lang w:eastAsia="uk-UA"/>
        </w:rPr>
        <w:t>2</w:t>
      </w:r>
      <w:r w:rsidR="00650503" w:rsidRPr="00762AA6">
        <w:rPr>
          <w:rFonts w:ascii="Times New Roman" w:eastAsia="Times New Roman" w:hAnsi="Times New Roman" w:cs="Times New Roman"/>
          <w:bCs/>
          <w:lang w:eastAsia="uk-UA"/>
        </w:rPr>
        <w:t>0</w:t>
      </w:r>
      <w:r w:rsidR="004241FB" w:rsidRPr="00762AA6">
        <w:rPr>
          <w:rFonts w:ascii="Times New Roman" w:eastAsia="Times New Roman" w:hAnsi="Times New Roman" w:cs="Times New Roman"/>
          <w:bCs/>
          <w:lang w:eastAsia="uk-UA"/>
        </w:rPr>
        <w:t>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47DB4EBC"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r w:rsidR="00A42C8B" w:rsidRPr="00A42C8B">
        <w:rPr>
          <w:rFonts w:ascii="Times New Roman" w:eastAsia="Times New Roman" w:hAnsi="Times New Roman" w:cs="Times New Roman"/>
          <w:bCs/>
          <w:lang w:eastAsia="uk-UA"/>
        </w:rPr>
        <w:t>605 841 грн. 20 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60D5DD5"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D05B79">
        <w:rPr>
          <w:rFonts w:ascii="Times New Roman" w:hAnsi="Times New Roman" w:cs="Times New Roman"/>
          <w:bCs/>
        </w:rPr>
        <w:t>Термін надання послуг</w:t>
      </w:r>
      <w:r w:rsidR="00D05B79">
        <w:rPr>
          <w:rFonts w:ascii="Times New Roman" w:hAnsi="Times New Roman" w:cs="Times New Roman"/>
          <w:bCs/>
        </w:rPr>
        <w:t xml:space="preserve">: </w:t>
      </w:r>
      <w:r w:rsidR="00A42C8B" w:rsidRPr="00A42C8B">
        <w:rPr>
          <w:rFonts w:ascii="Times New Roman" w:hAnsi="Times New Roman" w:cs="Times New Roman"/>
        </w:rPr>
        <w:t>протягом 15-ти (п’ятнадцяти)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а адрес</w:t>
      </w:r>
      <w:r w:rsidR="003B24F5" w:rsidRPr="00762AA6">
        <w:rPr>
          <w:rFonts w:ascii="Times New Roman" w:hAnsi="Times New Roman" w:cs="Times New Roman"/>
        </w:rPr>
        <w:t>ою</w:t>
      </w:r>
      <w:r w:rsidR="00414A3F" w:rsidRPr="00762AA6">
        <w:rPr>
          <w:rFonts w:ascii="Times New Roman" w:hAnsi="Times New Roman" w:cs="Times New Roman"/>
        </w:rPr>
        <w:t xml:space="preserve">: </w:t>
      </w:r>
      <w:r w:rsidR="00A42C8B" w:rsidRPr="00A42C8B">
        <w:rPr>
          <w:rFonts w:ascii="Times New Roman" w:hAnsi="Times New Roman" w:cs="Times New Roman"/>
        </w:rPr>
        <w:t>від вул. Пушкіна до вул. Лермонтова 12а, м. Тернівка, Дніпропет</w:t>
      </w:r>
      <w:r w:rsidR="00A42C8B">
        <w:rPr>
          <w:rFonts w:ascii="Times New Roman" w:hAnsi="Times New Roman" w:cs="Times New Roman"/>
        </w:rPr>
        <w:t>ровська область, Україна, 51500.</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48678DE3" w14:textId="77777777" w:rsidR="00A42C8B" w:rsidRPr="00A42C8B" w:rsidRDefault="00A42C8B" w:rsidP="00A42C8B">
      <w:pPr>
        <w:numPr>
          <w:ilvl w:val="0"/>
          <w:numId w:val="2"/>
        </w:numPr>
        <w:tabs>
          <w:tab w:val="left" w:pos="426"/>
        </w:tabs>
        <w:spacing w:after="120" w:line="240" w:lineRule="auto"/>
        <w:ind w:left="0" w:firstLine="0"/>
        <w:contextualSpacing/>
        <w:rPr>
          <w:rFonts w:ascii="Times New Roman" w:hAnsi="Times New Roman" w:cs="Times New Roman"/>
        </w:rPr>
      </w:pPr>
      <w:r w:rsidRPr="00A42C8B">
        <w:rPr>
          <w:rFonts w:ascii="Times New Roman" w:hAnsi="Times New Roman" w:cs="Times New Roman"/>
        </w:rPr>
        <w:t>Детальний опис предмета закупівлі:</w:t>
      </w:r>
    </w:p>
    <w:p w14:paraId="47BB0D1D" w14:textId="77777777" w:rsidR="00A42C8B" w:rsidRPr="00A42C8B" w:rsidRDefault="00A42C8B" w:rsidP="00A42C8B">
      <w:pPr>
        <w:spacing w:after="0" w:line="240" w:lineRule="auto"/>
        <w:ind w:left="720"/>
        <w:jc w:val="right"/>
        <w:rPr>
          <w:rFonts w:ascii="Times New Roman" w:eastAsia="Arial" w:hAnsi="Times New Roman" w:cs="Times New Roman"/>
          <w:bCs/>
          <w:i/>
          <w:lang w:eastAsia="ru-RU"/>
        </w:rPr>
      </w:pPr>
      <w:r w:rsidRPr="00A42C8B">
        <w:rPr>
          <w:rFonts w:ascii="Times New Roman" w:eastAsia="Arial" w:hAnsi="Times New Roman" w:cs="Times New Roman"/>
          <w:bCs/>
          <w:i/>
          <w:lang w:eastAsia="ru-RU"/>
        </w:rPr>
        <w:t>Таблиця 1</w:t>
      </w:r>
    </w:p>
    <w:tbl>
      <w:tblPr>
        <w:tblStyle w:val="13"/>
        <w:tblW w:w="0" w:type="auto"/>
        <w:tblInd w:w="-5" w:type="dxa"/>
        <w:tblLook w:val="04A0" w:firstRow="1" w:lastRow="0" w:firstColumn="1" w:lastColumn="0" w:noHBand="0" w:noVBand="1"/>
      </w:tblPr>
      <w:tblGrid>
        <w:gridCol w:w="3425"/>
        <w:gridCol w:w="6209"/>
      </w:tblGrid>
      <w:tr w:rsidR="00A42C8B" w:rsidRPr="00A42C8B" w14:paraId="03C904A0" w14:textId="77777777" w:rsidTr="007D0E5A">
        <w:tc>
          <w:tcPr>
            <w:tcW w:w="3463" w:type="dxa"/>
          </w:tcPr>
          <w:p w14:paraId="6DF2EE98"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color w:val="000000"/>
                <w:highlight w:val="white"/>
                <w:lang w:eastAsia="ru-RU"/>
              </w:rPr>
              <w:t>Назва предмета закупівлі</w:t>
            </w:r>
          </w:p>
        </w:tc>
        <w:tc>
          <w:tcPr>
            <w:tcW w:w="6289" w:type="dxa"/>
          </w:tcPr>
          <w:p w14:paraId="14AF7A04" w14:textId="77777777" w:rsidR="00BE404B" w:rsidRDefault="00A42C8B" w:rsidP="00A42C8B">
            <w:pPr>
              <w:rPr>
                <w:rFonts w:ascii="Times New Roman" w:eastAsia="Times New Roman" w:hAnsi="Times New Roman" w:cs="Calibri"/>
                <w:lang w:eastAsia="ru-RU"/>
              </w:rPr>
            </w:pPr>
            <w:r w:rsidRPr="00A42C8B">
              <w:rPr>
                <w:rFonts w:ascii="Times New Roman" w:eastAsia="Times New Roman" w:hAnsi="Times New Roman" w:cs="Calibri"/>
                <w:lang w:eastAsia="ru-RU"/>
              </w:rPr>
              <w:t>Поточний ремонт вну</w:t>
            </w:r>
            <w:r w:rsidR="00BE404B">
              <w:rPr>
                <w:rFonts w:ascii="Times New Roman" w:eastAsia="Times New Roman" w:hAnsi="Times New Roman" w:cs="Calibri"/>
                <w:lang w:eastAsia="ru-RU"/>
              </w:rPr>
              <w:t>трішньоквартального проїзду від</w:t>
            </w:r>
          </w:p>
          <w:p w14:paraId="1BB82DFD" w14:textId="497B27B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lang w:eastAsia="ru-RU"/>
              </w:rPr>
              <w:t>вул. Пушкіна до вул. Лермонтова 12а, S-496</w:t>
            </w:r>
          </w:p>
        </w:tc>
      </w:tr>
      <w:tr w:rsidR="00A42C8B" w:rsidRPr="00A42C8B" w14:paraId="13D3EA10" w14:textId="77777777" w:rsidTr="007D0E5A">
        <w:tc>
          <w:tcPr>
            <w:tcW w:w="3463" w:type="dxa"/>
          </w:tcPr>
          <w:p w14:paraId="51C32D10"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color w:val="000000"/>
                <w:highlight w:val="white"/>
                <w:lang w:eastAsia="ru-RU"/>
              </w:rPr>
              <w:t>Код ДК 021:2015</w:t>
            </w:r>
          </w:p>
        </w:tc>
        <w:tc>
          <w:tcPr>
            <w:tcW w:w="6289" w:type="dxa"/>
          </w:tcPr>
          <w:p w14:paraId="47A4AED5"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lang w:eastAsia="ru-RU"/>
              </w:rPr>
              <w:t xml:space="preserve">45230000-8 - </w:t>
            </w:r>
            <w:r w:rsidRPr="00A42C8B">
              <w:rPr>
                <w:rFonts w:ascii="Times New Roman" w:hAnsi="Times New Roman" w:cs="Calibri"/>
                <w:lang w:eastAsia="ru-RU"/>
              </w:rPr>
              <w:t>Будівництво трубопроводів, ліній зв’язку та електропередач, шосе, доріг, аеродромів і залізничних доріг; вирівнювання поверхонь</w:t>
            </w:r>
          </w:p>
        </w:tc>
      </w:tr>
      <w:tr w:rsidR="00A42C8B" w:rsidRPr="00A42C8B" w14:paraId="11792543" w14:textId="77777777" w:rsidTr="007D0E5A">
        <w:tc>
          <w:tcPr>
            <w:tcW w:w="3463" w:type="dxa"/>
          </w:tcPr>
          <w:p w14:paraId="43C722A2"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color w:val="000000"/>
                <w:lang w:eastAsia="ru-RU"/>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49886AE1" w14:textId="77777777" w:rsidR="00A42C8B" w:rsidRPr="00A42C8B" w:rsidRDefault="00A42C8B" w:rsidP="00A42C8B">
            <w:pPr>
              <w:rPr>
                <w:rFonts w:ascii="Times New Roman" w:eastAsia="Arial" w:hAnsi="Times New Roman" w:cs="Calibri"/>
                <w:bCs/>
                <w:i/>
                <w:lang w:eastAsia="ru-RU"/>
              </w:rPr>
            </w:pPr>
            <w:r w:rsidRPr="00A42C8B">
              <w:rPr>
                <w:rFonts w:ascii="Times New Roman" w:hAnsi="Times New Roman" w:cs="Calibri"/>
                <w:lang w:eastAsia="ru-RU"/>
              </w:rPr>
              <w:t>45233142-6 - Ремонт доріг</w:t>
            </w:r>
          </w:p>
        </w:tc>
      </w:tr>
      <w:tr w:rsidR="00A42C8B" w:rsidRPr="00A42C8B" w14:paraId="622C2D6B" w14:textId="77777777" w:rsidTr="007D0E5A">
        <w:tc>
          <w:tcPr>
            <w:tcW w:w="3463" w:type="dxa"/>
          </w:tcPr>
          <w:p w14:paraId="6F9747EA"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color w:val="000000"/>
                <w:highlight w:val="white"/>
                <w:lang w:eastAsia="ru-RU"/>
              </w:rPr>
              <w:t>Обсяги наданих послуг</w:t>
            </w:r>
          </w:p>
        </w:tc>
        <w:tc>
          <w:tcPr>
            <w:tcW w:w="6289" w:type="dxa"/>
          </w:tcPr>
          <w:p w14:paraId="19AECE47" w14:textId="77777777" w:rsidR="00A42C8B" w:rsidRPr="00A42C8B" w:rsidRDefault="00A42C8B" w:rsidP="00A42C8B">
            <w:pPr>
              <w:rPr>
                <w:rFonts w:ascii="Times New Roman" w:eastAsia="Arial" w:hAnsi="Times New Roman" w:cs="Calibri"/>
                <w:bCs/>
                <w:i/>
                <w:lang w:eastAsia="ru-RU"/>
              </w:rPr>
            </w:pPr>
            <w:r w:rsidRPr="00A42C8B">
              <w:rPr>
                <w:rFonts w:ascii="Times New Roman" w:eastAsia="Arial" w:hAnsi="Times New Roman" w:cs="Calibri"/>
                <w:color w:val="000000"/>
                <w:shd w:val="clear" w:color="auto" w:fill="FFFFFF"/>
                <w:lang w:eastAsia="ru-RU"/>
              </w:rPr>
              <w:t>1 послуга</w:t>
            </w:r>
          </w:p>
        </w:tc>
      </w:tr>
      <w:tr w:rsidR="00A42C8B" w:rsidRPr="00A42C8B" w14:paraId="56DFA65A" w14:textId="77777777" w:rsidTr="007D0E5A">
        <w:tc>
          <w:tcPr>
            <w:tcW w:w="3463" w:type="dxa"/>
          </w:tcPr>
          <w:p w14:paraId="53D7417B"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color w:val="000000"/>
                <w:lang w:eastAsia="ru-RU"/>
              </w:rPr>
              <w:lastRenderedPageBreak/>
              <w:t>Місце, де повинні бути надані послуги</w:t>
            </w:r>
          </w:p>
        </w:tc>
        <w:tc>
          <w:tcPr>
            <w:tcW w:w="6289" w:type="dxa"/>
          </w:tcPr>
          <w:p w14:paraId="03F7DCD6" w14:textId="77777777" w:rsidR="00A42C8B" w:rsidRPr="00A42C8B" w:rsidRDefault="00A42C8B" w:rsidP="00A42C8B">
            <w:pPr>
              <w:rPr>
                <w:rFonts w:ascii="Times New Roman" w:eastAsia="Arial" w:hAnsi="Times New Roman" w:cs="Calibri"/>
                <w:bCs/>
                <w:i/>
                <w:lang w:eastAsia="ru-RU"/>
              </w:rPr>
            </w:pPr>
            <w:r w:rsidRPr="00A42C8B">
              <w:rPr>
                <w:rFonts w:ascii="Times New Roman" w:eastAsia="Times New Roman" w:hAnsi="Times New Roman" w:cs="Calibri"/>
                <w:lang w:eastAsia="ru-RU"/>
              </w:rPr>
              <w:t>вул. Пушкіна до вул. Лермонтова 12а</w:t>
            </w:r>
            <w:r w:rsidRPr="00A42C8B">
              <w:rPr>
                <w:rFonts w:ascii="Times New Roman" w:eastAsia="Times New Roman" w:hAnsi="Times New Roman" w:cs="Calibri"/>
                <w:color w:val="000000"/>
                <w:lang w:eastAsia="ru-RU"/>
              </w:rPr>
              <w:t>, м. Тернівка, Дніпропетровська область, Україна, 51500</w:t>
            </w:r>
          </w:p>
        </w:tc>
      </w:tr>
      <w:tr w:rsidR="00A42C8B" w:rsidRPr="00A42C8B" w14:paraId="1DEE044C" w14:textId="77777777" w:rsidTr="007D0E5A">
        <w:tc>
          <w:tcPr>
            <w:tcW w:w="3463" w:type="dxa"/>
            <w:vAlign w:val="center"/>
          </w:tcPr>
          <w:p w14:paraId="5CFDB5C4" w14:textId="77777777" w:rsidR="00A42C8B" w:rsidRPr="00A42C8B" w:rsidRDefault="00A42C8B" w:rsidP="00A42C8B">
            <w:pPr>
              <w:widowControl w:val="0"/>
              <w:rPr>
                <w:rFonts w:ascii="Times New Roman" w:eastAsia="Times New Roman" w:hAnsi="Times New Roman" w:cs="Calibri"/>
                <w:color w:val="000000"/>
                <w:highlight w:val="white"/>
                <w:lang w:eastAsia="uk-UA" w:bidi="uk-UA"/>
              </w:rPr>
            </w:pPr>
            <w:r w:rsidRPr="00A42C8B">
              <w:rPr>
                <w:rFonts w:ascii="Times New Roman" w:eastAsia="Times New Roman" w:hAnsi="Times New Roman" w:cs="Calibri"/>
                <w:color w:val="000000"/>
                <w:highlight w:val="white"/>
                <w:lang w:eastAsia="uk-UA" w:bidi="uk-UA"/>
              </w:rPr>
              <w:t>Строк надання послуг</w:t>
            </w:r>
          </w:p>
        </w:tc>
        <w:tc>
          <w:tcPr>
            <w:tcW w:w="6289" w:type="dxa"/>
            <w:vAlign w:val="center"/>
          </w:tcPr>
          <w:p w14:paraId="0C330FB3" w14:textId="77777777" w:rsidR="00A42C8B" w:rsidRPr="00A42C8B" w:rsidRDefault="00A42C8B" w:rsidP="00A42C8B">
            <w:pPr>
              <w:widowControl w:val="0"/>
              <w:rPr>
                <w:rFonts w:ascii="Times New Roman" w:eastAsia="Times New Roman" w:hAnsi="Times New Roman" w:cs="Calibri"/>
                <w:color w:val="000000"/>
                <w:lang w:eastAsia="uk-UA" w:bidi="uk-UA"/>
              </w:rPr>
            </w:pPr>
            <w:r w:rsidRPr="00A42C8B">
              <w:rPr>
                <w:rFonts w:ascii="Times New Roman" w:hAnsi="Times New Roman" w:cs="Calibri"/>
                <w:lang w:eastAsia="ru-RU"/>
              </w:rPr>
              <w:t>протягом 15-ти (п’ятнадцяти) календарних днів з дати укладення договору на поточний ремонт та договору технагляду</w:t>
            </w:r>
          </w:p>
        </w:tc>
      </w:tr>
    </w:tbl>
    <w:p w14:paraId="4F2788E9" w14:textId="77777777" w:rsidR="00A42C8B" w:rsidRPr="00A42C8B" w:rsidRDefault="00A42C8B" w:rsidP="00A42C8B">
      <w:pPr>
        <w:spacing w:after="0" w:line="240" w:lineRule="auto"/>
        <w:jc w:val="center"/>
        <w:rPr>
          <w:rFonts w:ascii="Times New Roman" w:eastAsia="Times New Roman" w:hAnsi="Times New Roman" w:cs="Times New Roman"/>
          <w:bCs/>
          <w:i/>
          <w:iCs/>
          <w:lang w:eastAsia="ru-RU"/>
        </w:rPr>
      </w:pPr>
    </w:p>
    <w:p w14:paraId="3ABC406A" w14:textId="77777777" w:rsidR="00A42C8B" w:rsidRPr="00A42C8B" w:rsidRDefault="00A42C8B" w:rsidP="00A42C8B">
      <w:pPr>
        <w:spacing w:after="0" w:line="240" w:lineRule="auto"/>
        <w:ind w:left="720"/>
        <w:jc w:val="right"/>
        <w:rPr>
          <w:rFonts w:ascii="Times New Roman" w:eastAsia="Arial" w:hAnsi="Times New Roman" w:cs="Times New Roman"/>
          <w:bCs/>
          <w:i/>
          <w:lang w:eastAsia="ru-RU"/>
        </w:rPr>
      </w:pPr>
      <w:r w:rsidRPr="00A42C8B">
        <w:rPr>
          <w:rFonts w:ascii="Times New Roman" w:eastAsia="Arial" w:hAnsi="Times New Roman" w:cs="Times New Roman"/>
          <w:bCs/>
          <w:i/>
          <w:lang w:eastAsia="ru-RU"/>
        </w:rPr>
        <w:t>Таблиця 2</w:t>
      </w:r>
    </w:p>
    <w:tbl>
      <w:tblPr>
        <w:tblW w:w="9781" w:type="dxa"/>
        <w:tblInd w:w="-34" w:type="dxa"/>
        <w:tblLook w:val="04A0" w:firstRow="1" w:lastRow="0" w:firstColumn="1" w:lastColumn="0" w:noHBand="0" w:noVBand="1"/>
      </w:tblPr>
      <w:tblGrid>
        <w:gridCol w:w="779"/>
        <w:gridCol w:w="1725"/>
        <w:gridCol w:w="4054"/>
        <w:gridCol w:w="942"/>
        <w:gridCol w:w="1137"/>
        <w:gridCol w:w="1144"/>
      </w:tblGrid>
      <w:tr w:rsidR="00A42C8B" w:rsidRPr="00A42C8B" w14:paraId="5563C51F" w14:textId="77777777" w:rsidTr="007D0E5A">
        <w:trPr>
          <w:trHeight w:val="495"/>
        </w:trPr>
        <w:tc>
          <w:tcPr>
            <w:tcW w:w="779" w:type="dxa"/>
            <w:tcBorders>
              <w:top w:val="single" w:sz="8" w:space="0" w:color="auto"/>
              <w:left w:val="single" w:sz="8" w:space="0" w:color="auto"/>
              <w:bottom w:val="nil"/>
              <w:right w:val="single" w:sz="8" w:space="0" w:color="auto"/>
            </w:tcBorders>
            <w:shd w:val="clear" w:color="auto" w:fill="auto"/>
            <w:vAlign w:val="center"/>
            <w:hideMark/>
          </w:tcPr>
          <w:p w14:paraId="63000051"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п/п</w:t>
            </w:r>
          </w:p>
        </w:tc>
        <w:tc>
          <w:tcPr>
            <w:tcW w:w="1725" w:type="dxa"/>
            <w:tcBorders>
              <w:top w:val="single" w:sz="8" w:space="0" w:color="auto"/>
              <w:left w:val="nil"/>
              <w:bottom w:val="nil"/>
              <w:right w:val="single" w:sz="8" w:space="0" w:color="auto"/>
            </w:tcBorders>
            <w:shd w:val="clear" w:color="auto" w:fill="auto"/>
            <w:vAlign w:val="center"/>
            <w:hideMark/>
          </w:tcPr>
          <w:p w14:paraId="12190D27"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Обгрунтування</w:t>
            </w:r>
          </w:p>
        </w:tc>
        <w:tc>
          <w:tcPr>
            <w:tcW w:w="4054" w:type="dxa"/>
            <w:tcBorders>
              <w:top w:val="single" w:sz="8" w:space="0" w:color="auto"/>
              <w:left w:val="nil"/>
              <w:bottom w:val="nil"/>
              <w:right w:val="single" w:sz="8" w:space="0" w:color="auto"/>
            </w:tcBorders>
            <w:shd w:val="clear" w:color="auto" w:fill="auto"/>
            <w:vAlign w:val="center"/>
            <w:hideMark/>
          </w:tcPr>
          <w:p w14:paraId="661A4FF5"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Найменування робіт і витрат</w:t>
            </w:r>
          </w:p>
        </w:tc>
        <w:tc>
          <w:tcPr>
            <w:tcW w:w="942" w:type="dxa"/>
            <w:tcBorders>
              <w:top w:val="single" w:sz="8" w:space="0" w:color="auto"/>
              <w:left w:val="nil"/>
              <w:bottom w:val="nil"/>
              <w:right w:val="single" w:sz="8" w:space="0" w:color="auto"/>
            </w:tcBorders>
            <w:shd w:val="clear" w:color="auto" w:fill="auto"/>
            <w:vAlign w:val="center"/>
            <w:hideMark/>
          </w:tcPr>
          <w:p w14:paraId="1A7A4C16"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Од.  вим.</w:t>
            </w:r>
          </w:p>
        </w:tc>
        <w:tc>
          <w:tcPr>
            <w:tcW w:w="1137" w:type="dxa"/>
            <w:tcBorders>
              <w:top w:val="single" w:sz="8" w:space="0" w:color="auto"/>
              <w:left w:val="nil"/>
              <w:bottom w:val="nil"/>
              <w:right w:val="single" w:sz="8" w:space="0" w:color="auto"/>
            </w:tcBorders>
            <w:shd w:val="clear" w:color="auto" w:fill="auto"/>
            <w:vAlign w:val="center"/>
            <w:hideMark/>
          </w:tcPr>
          <w:p w14:paraId="60C5B8EA"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xml:space="preserve">  Кількість</w:t>
            </w:r>
          </w:p>
        </w:tc>
        <w:tc>
          <w:tcPr>
            <w:tcW w:w="1144" w:type="dxa"/>
            <w:tcBorders>
              <w:top w:val="single" w:sz="8" w:space="0" w:color="auto"/>
              <w:left w:val="nil"/>
              <w:bottom w:val="nil"/>
              <w:right w:val="single" w:sz="8" w:space="0" w:color="auto"/>
            </w:tcBorders>
            <w:shd w:val="clear" w:color="auto" w:fill="auto"/>
            <w:vAlign w:val="center"/>
            <w:hideMark/>
          </w:tcPr>
          <w:p w14:paraId="1C53C971"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Примітка</w:t>
            </w:r>
          </w:p>
        </w:tc>
      </w:tr>
      <w:tr w:rsidR="00A42C8B" w:rsidRPr="00A42C8B" w14:paraId="4F7F651B" w14:textId="77777777" w:rsidTr="007D0E5A">
        <w:trPr>
          <w:trHeight w:val="300"/>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8E24A1"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14:paraId="3B2023AF"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2</w:t>
            </w:r>
          </w:p>
        </w:tc>
        <w:tc>
          <w:tcPr>
            <w:tcW w:w="4054" w:type="dxa"/>
            <w:tcBorders>
              <w:top w:val="single" w:sz="8" w:space="0" w:color="auto"/>
              <w:left w:val="nil"/>
              <w:bottom w:val="single" w:sz="8" w:space="0" w:color="auto"/>
              <w:right w:val="single" w:sz="8" w:space="0" w:color="auto"/>
            </w:tcBorders>
            <w:shd w:val="clear" w:color="auto" w:fill="auto"/>
            <w:vAlign w:val="center"/>
            <w:hideMark/>
          </w:tcPr>
          <w:p w14:paraId="5B05B954"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3</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05A3B3AB"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4306D07"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00D39172" w14:textId="77777777" w:rsidR="00A42C8B" w:rsidRPr="00A42C8B" w:rsidRDefault="00A42C8B" w:rsidP="00A42C8B">
            <w:pPr>
              <w:spacing w:after="0" w:line="240" w:lineRule="auto"/>
              <w:jc w:val="center"/>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6</w:t>
            </w:r>
          </w:p>
        </w:tc>
      </w:tr>
      <w:tr w:rsidR="00A42C8B" w:rsidRPr="00A42C8B" w14:paraId="4670D4D8" w14:textId="77777777" w:rsidTr="007D0E5A">
        <w:trPr>
          <w:trHeight w:val="278"/>
        </w:trPr>
        <w:tc>
          <w:tcPr>
            <w:tcW w:w="9781"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65569A78"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6C7E03F2"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A247D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79AB207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КР18-1-5</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3508ED1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Розбирання асфальтобетонних покриттів механізованим способом</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327B607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422FC2E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0,0565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3D5477A0"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4E1201C5"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6A5E6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2</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40B4D9F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КР18-2-1</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751A507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Розбирання бортових каменів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0D8EA60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348318B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0,15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24578EE7"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5CDE189F"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DAB1D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3</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17E565B1"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КР18-1-7</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567AEFF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Розбирання цементобетонних покриттів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4553FD0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421F589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0,005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4795E77A"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00154202"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F637BC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3690705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КР18-1-3</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5E32746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Розбирання щебенових покриттів та основ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50A943A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08943CA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0,2445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39E778E2"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2DD094A3"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91FA4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5</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5D3B4E6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КР20-41-1</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473CDB3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Навантаження сміття екскаваторами на автомобілі-самоскиди</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04B3374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100т</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6A5C9E9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0,538575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E3E0EF4"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43A960D0"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E2FD91"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6</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6026810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40311C8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Перевезення сміття до 5км</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3720FE6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т</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07CB88B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53,8575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26486DCF"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5B2FFFD3" w14:textId="77777777" w:rsidTr="007D0E5A">
        <w:trPr>
          <w:trHeight w:val="480"/>
        </w:trPr>
        <w:tc>
          <w:tcPr>
            <w:tcW w:w="7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F3D16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7</w:t>
            </w:r>
          </w:p>
        </w:tc>
        <w:tc>
          <w:tcPr>
            <w:tcW w:w="1725" w:type="dxa"/>
            <w:tcBorders>
              <w:top w:val="single" w:sz="8" w:space="0" w:color="auto"/>
              <w:left w:val="nil"/>
              <w:bottom w:val="single" w:sz="4" w:space="0" w:color="auto"/>
              <w:right w:val="single" w:sz="8" w:space="0" w:color="auto"/>
            </w:tcBorders>
            <w:shd w:val="clear" w:color="auto" w:fill="auto"/>
            <w:vAlign w:val="center"/>
            <w:hideMark/>
          </w:tcPr>
          <w:p w14:paraId="4BB4F49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КР18-29-2</w:t>
            </w:r>
          </w:p>
        </w:tc>
        <w:tc>
          <w:tcPr>
            <w:tcW w:w="4054" w:type="dxa"/>
            <w:tcBorders>
              <w:top w:val="single" w:sz="8" w:space="0" w:color="auto"/>
              <w:left w:val="nil"/>
              <w:bottom w:val="single" w:sz="4" w:space="0" w:color="auto"/>
              <w:right w:val="single" w:sz="8" w:space="0" w:color="auto"/>
            </w:tcBorders>
            <w:shd w:val="clear" w:color="auto" w:fill="auto"/>
            <w:vAlign w:val="center"/>
            <w:hideMark/>
          </w:tcPr>
          <w:p w14:paraId="781944E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Установлення бортових каменів бетонних і залізобетонних при інших видах покриттів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7C76887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6A5E695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0,99</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42FC1149" w14:textId="77777777" w:rsidR="00A42C8B" w:rsidRPr="00A42C8B" w:rsidRDefault="00A42C8B" w:rsidP="00A42C8B">
            <w:pPr>
              <w:spacing w:after="0" w:line="240" w:lineRule="auto"/>
              <w:rPr>
                <w:rFonts w:ascii="Times New Roman" w:eastAsia="Times New Roman" w:hAnsi="Times New Roman" w:cs="Times New Roman"/>
                <w:b/>
                <w:bCs/>
                <w:color w:val="000000"/>
                <w:lang w:eastAsia="uk-UA"/>
              </w:rPr>
            </w:pPr>
            <w:r w:rsidRPr="00A42C8B">
              <w:rPr>
                <w:rFonts w:ascii="Times New Roman" w:eastAsia="Times New Roman" w:hAnsi="Times New Roman" w:cs="Times New Roman"/>
                <w:b/>
                <w:bCs/>
                <w:color w:val="000000"/>
                <w:lang w:eastAsia="uk-UA"/>
              </w:rPr>
              <w:t> </w:t>
            </w:r>
          </w:p>
        </w:tc>
      </w:tr>
      <w:tr w:rsidR="00A42C8B" w:rsidRPr="00A42C8B" w14:paraId="2E20306A"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5B76277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8</w:t>
            </w:r>
          </w:p>
        </w:tc>
        <w:tc>
          <w:tcPr>
            <w:tcW w:w="1725" w:type="dxa"/>
            <w:tcBorders>
              <w:top w:val="nil"/>
              <w:left w:val="nil"/>
              <w:bottom w:val="single" w:sz="4" w:space="0" w:color="auto"/>
              <w:right w:val="single" w:sz="8" w:space="0" w:color="auto"/>
            </w:tcBorders>
            <w:shd w:val="clear" w:color="auto" w:fill="auto"/>
            <w:vAlign w:val="center"/>
            <w:hideMark/>
          </w:tcPr>
          <w:p w14:paraId="5ED56DC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КР18-23-1</w:t>
            </w:r>
          </w:p>
        </w:tc>
        <w:tc>
          <w:tcPr>
            <w:tcW w:w="4054" w:type="dxa"/>
            <w:tcBorders>
              <w:top w:val="nil"/>
              <w:left w:val="nil"/>
              <w:bottom w:val="single" w:sz="4" w:space="0" w:color="auto"/>
              <w:right w:val="single" w:sz="8" w:space="0" w:color="auto"/>
            </w:tcBorders>
            <w:shd w:val="clear" w:color="auto" w:fill="auto"/>
            <w:vAlign w:val="center"/>
            <w:hideMark/>
          </w:tcPr>
          <w:p w14:paraId="3CE0574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Улаштування одношарових основ товщиною 15см із щебеню</w:t>
            </w:r>
          </w:p>
        </w:tc>
        <w:tc>
          <w:tcPr>
            <w:tcW w:w="942" w:type="dxa"/>
            <w:tcBorders>
              <w:top w:val="nil"/>
              <w:left w:val="nil"/>
              <w:bottom w:val="single" w:sz="4" w:space="0" w:color="auto"/>
              <w:right w:val="single" w:sz="8" w:space="0" w:color="auto"/>
            </w:tcBorders>
            <w:shd w:val="clear" w:color="auto" w:fill="auto"/>
            <w:vAlign w:val="center"/>
            <w:hideMark/>
          </w:tcPr>
          <w:p w14:paraId="0582558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xml:space="preserve"> 100 м2</w:t>
            </w:r>
          </w:p>
        </w:tc>
        <w:tc>
          <w:tcPr>
            <w:tcW w:w="1137" w:type="dxa"/>
            <w:tcBorders>
              <w:top w:val="nil"/>
              <w:left w:val="nil"/>
              <w:bottom w:val="single" w:sz="4" w:space="0" w:color="auto"/>
              <w:right w:val="single" w:sz="8" w:space="0" w:color="auto"/>
            </w:tcBorders>
            <w:shd w:val="clear" w:color="auto" w:fill="auto"/>
            <w:vAlign w:val="center"/>
            <w:hideMark/>
          </w:tcPr>
          <w:p w14:paraId="74170D9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4,96</w:t>
            </w:r>
          </w:p>
        </w:tc>
        <w:tc>
          <w:tcPr>
            <w:tcW w:w="1144" w:type="dxa"/>
            <w:tcBorders>
              <w:top w:val="nil"/>
              <w:left w:val="nil"/>
              <w:bottom w:val="single" w:sz="4" w:space="0" w:color="auto"/>
              <w:right w:val="single" w:sz="8" w:space="0" w:color="auto"/>
            </w:tcBorders>
            <w:shd w:val="clear" w:color="auto" w:fill="auto"/>
            <w:vAlign w:val="center"/>
            <w:hideMark/>
          </w:tcPr>
          <w:p w14:paraId="3371C1A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7EF8B867"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23EE242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9</w:t>
            </w:r>
          </w:p>
        </w:tc>
        <w:tc>
          <w:tcPr>
            <w:tcW w:w="1725" w:type="dxa"/>
            <w:tcBorders>
              <w:top w:val="nil"/>
              <w:left w:val="nil"/>
              <w:bottom w:val="single" w:sz="4" w:space="0" w:color="auto"/>
              <w:right w:val="single" w:sz="8" w:space="0" w:color="auto"/>
            </w:tcBorders>
            <w:shd w:val="clear" w:color="auto" w:fill="auto"/>
            <w:vAlign w:val="center"/>
            <w:hideMark/>
          </w:tcPr>
          <w:p w14:paraId="01EED21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КР18-23-4(к=5)</w:t>
            </w:r>
          </w:p>
        </w:tc>
        <w:tc>
          <w:tcPr>
            <w:tcW w:w="4054" w:type="dxa"/>
            <w:tcBorders>
              <w:top w:val="nil"/>
              <w:left w:val="nil"/>
              <w:bottom w:val="single" w:sz="4" w:space="0" w:color="auto"/>
              <w:right w:val="single" w:sz="8" w:space="0" w:color="auto"/>
            </w:tcBorders>
            <w:shd w:val="clear" w:color="auto" w:fill="auto"/>
            <w:vAlign w:val="center"/>
            <w:hideMark/>
          </w:tcPr>
          <w:p w14:paraId="41FEFDA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На кожний 1см зміни товщини шару додавати або виключати до норм 18-23-1</w:t>
            </w:r>
          </w:p>
        </w:tc>
        <w:tc>
          <w:tcPr>
            <w:tcW w:w="942" w:type="dxa"/>
            <w:tcBorders>
              <w:top w:val="nil"/>
              <w:left w:val="nil"/>
              <w:bottom w:val="single" w:sz="4" w:space="0" w:color="auto"/>
              <w:right w:val="single" w:sz="8" w:space="0" w:color="auto"/>
            </w:tcBorders>
            <w:shd w:val="clear" w:color="auto" w:fill="auto"/>
            <w:vAlign w:val="center"/>
            <w:hideMark/>
          </w:tcPr>
          <w:p w14:paraId="6E567B3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xml:space="preserve">  100м2</w:t>
            </w:r>
          </w:p>
        </w:tc>
        <w:tc>
          <w:tcPr>
            <w:tcW w:w="1137" w:type="dxa"/>
            <w:tcBorders>
              <w:top w:val="nil"/>
              <w:left w:val="nil"/>
              <w:bottom w:val="single" w:sz="4" w:space="0" w:color="auto"/>
              <w:right w:val="single" w:sz="8" w:space="0" w:color="auto"/>
            </w:tcBorders>
            <w:shd w:val="clear" w:color="auto" w:fill="auto"/>
            <w:vAlign w:val="center"/>
            <w:hideMark/>
          </w:tcPr>
          <w:p w14:paraId="06C2B62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-4,96</w:t>
            </w:r>
          </w:p>
        </w:tc>
        <w:tc>
          <w:tcPr>
            <w:tcW w:w="1144" w:type="dxa"/>
            <w:tcBorders>
              <w:top w:val="nil"/>
              <w:left w:val="nil"/>
              <w:bottom w:val="single" w:sz="4" w:space="0" w:color="auto"/>
              <w:right w:val="single" w:sz="8" w:space="0" w:color="auto"/>
            </w:tcBorders>
            <w:shd w:val="clear" w:color="auto" w:fill="auto"/>
            <w:vAlign w:val="center"/>
            <w:hideMark/>
          </w:tcPr>
          <w:p w14:paraId="76D25AF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38676862" w14:textId="77777777" w:rsidTr="007D0E5A">
        <w:trPr>
          <w:trHeight w:val="30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26C73F3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725" w:type="dxa"/>
            <w:tcBorders>
              <w:top w:val="nil"/>
              <w:left w:val="nil"/>
              <w:bottom w:val="single" w:sz="4" w:space="0" w:color="auto"/>
              <w:right w:val="single" w:sz="8" w:space="0" w:color="auto"/>
            </w:tcBorders>
            <w:shd w:val="clear" w:color="auto" w:fill="auto"/>
            <w:vAlign w:val="center"/>
            <w:hideMark/>
          </w:tcPr>
          <w:p w14:paraId="44D17EF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3401B7D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70,00%</w:t>
            </w:r>
          </w:p>
        </w:tc>
        <w:tc>
          <w:tcPr>
            <w:tcW w:w="942" w:type="dxa"/>
            <w:tcBorders>
              <w:top w:val="nil"/>
              <w:left w:val="nil"/>
              <w:bottom w:val="single" w:sz="4" w:space="0" w:color="auto"/>
              <w:right w:val="single" w:sz="8" w:space="0" w:color="auto"/>
            </w:tcBorders>
            <w:shd w:val="clear" w:color="auto" w:fill="auto"/>
            <w:vAlign w:val="center"/>
            <w:hideMark/>
          </w:tcPr>
          <w:p w14:paraId="40F62CE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xml:space="preserve">  </w:t>
            </w:r>
          </w:p>
        </w:tc>
        <w:tc>
          <w:tcPr>
            <w:tcW w:w="1137" w:type="dxa"/>
            <w:tcBorders>
              <w:top w:val="nil"/>
              <w:left w:val="nil"/>
              <w:bottom w:val="single" w:sz="4" w:space="0" w:color="auto"/>
              <w:right w:val="single" w:sz="8" w:space="0" w:color="auto"/>
            </w:tcBorders>
            <w:shd w:val="clear" w:color="auto" w:fill="auto"/>
            <w:vAlign w:val="center"/>
            <w:hideMark/>
          </w:tcPr>
          <w:p w14:paraId="3F24D76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144" w:type="dxa"/>
            <w:tcBorders>
              <w:top w:val="nil"/>
              <w:left w:val="nil"/>
              <w:bottom w:val="single" w:sz="4" w:space="0" w:color="auto"/>
              <w:right w:val="single" w:sz="8" w:space="0" w:color="auto"/>
            </w:tcBorders>
            <w:shd w:val="clear" w:color="auto" w:fill="auto"/>
            <w:vAlign w:val="center"/>
            <w:hideMark/>
          </w:tcPr>
          <w:p w14:paraId="0367990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68191638"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721C373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w:t>
            </w:r>
          </w:p>
        </w:tc>
        <w:tc>
          <w:tcPr>
            <w:tcW w:w="1725" w:type="dxa"/>
            <w:tcBorders>
              <w:top w:val="nil"/>
              <w:left w:val="nil"/>
              <w:bottom w:val="single" w:sz="4" w:space="0" w:color="auto"/>
              <w:right w:val="single" w:sz="8" w:space="0" w:color="auto"/>
            </w:tcBorders>
            <w:shd w:val="clear" w:color="auto" w:fill="auto"/>
            <w:vAlign w:val="center"/>
            <w:hideMark/>
          </w:tcPr>
          <w:p w14:paraId="3F7F1AF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0A3B25D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Щебінь із природного каменю для будівельних робіт, фракція 20-40мм</w:t>
            </w:r>
          </w:p>
        </w:tc>
        <w:tc>
          <w:tcPr>
            <w:tcW w:w="942" w:type="dxa"/>
            <w:tcBorders>
              <w:top w:val="nil"/>
              <w:left w:val="nil"/>
              <w:bottom w:val="single" w:sz="4" w:space="0" w:color="auto"/>
              <w:right w:val="single" w:sz="8" w:space="0" w:color="auto"/>
            </w:tcBorders>
            <w:shd w:val="clear" w:color="auto" w:fill="auto"/>
            <w:vAlign w:val="center"/>
            <w:hideMark/>
          </w:tcPr>
          <w:p w14:paraId="1A2873D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xml:space="preserve">  м3</w:t>
            </w:r>
          </w:p>
        </w:tc>
        <w:tc>
          <w:tcPr>
            <w:tcW w:w="1137" w:type="dxa"/>
            <w:tcBorders>
              <w:top w:val="nil"/>
              <w:left w:val="nil"/>
              <w:bottom w:val="single" w:sz="4" w:space="0" w:color="auto"/>
              <w:right w:val="single" w:sz="8" w:space="0" w:color="auto"/>
            </w:tcBorders>
            <w:shd w:val="clear" w:color="auto" w:fill="auto"/>
            <w:vAlign w:val="center"/>
            <w:hideMark/>
          </w:tcPr>
          <w:p w14:paraId="1CF0CFC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48,9552</w:t>
            </w:r>
          </w:p>
        </w:tc>
        <w:tc>
          <w:tcPr>
            <w:tcW w:w="1144" w:type="dxa"/>
            <w:tcBorders>
              <w:top w:val="nil"/>
              <w:left w:val="nil"/>
              <w:bottom w:val="single" w:sz="4" w:space="0" w:color="auto"/>
              <w:right w:val="single" w:sz="8" w:space="0" w:color="auto"/>
            </w:tcBorders>
            <w:shd w:val="clear" w:color="auto" w:fill="auto"/>
            <w:vAlign w:val="center"/>
            <w:hideMark/>
          </w:tcPr>
          <w:p w14:paraId="5D60DD5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11F4EABC" w14:textId="77777777" w:rsidTr="007D0E5A">
        <w:trPr>
          <w:trHeight w:val="30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25764F9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725" w:type="dxa"/>
            <w:tcBorders>
              <w:top w:val="nil"/>
              <w:left w:val="nil"/>
              <w:bottom w:val="single" w:sz="4" w:space="0" w:color="auto"/>
              <w:right w:val="single" w:sz="8" w:space="0" w:color="auto"/>
            </w:tcBorders>
            <w:shd w:val="clear" w:color="auto" w:fill="auto"/>
            <w:vAlign w:val="center"/>
            <w:hideMark/>
          </w:tcPr>
          <w:p w14:paraId="46D8274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6D66A27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20,00%</w:t>
            </w:r>
          </w:p>
        </w:tc>
        <w:tc>
          <w:tcPr>
            <w:tcW w:w="942" w:type="dxa"/>
            <w:tcBorders>
              <w:top w:val="nil"/>
              <w:left w:val="nil"/>
              <w:bottom w:val="single" w:sz="4" w:space="0" w:color="auto"/>
              <w:right w:val="single" w:sz="8" w:space="0" w:color="auto"/>
            </w:tcBorders>
            <w:shd w:val="clear" w:color="auto" w:fill="auto"/>
            <w:vAlign w:val="center"/>
            <w:hideMark/>
          </w:tcPr>
          <w:p w14:paraId="1573450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137" w:type="dxa"/>
            <w:tcBorders>
              <w:top w:val="nil"/>
              <w:left w:val="nil"/>
              <w:bottom w:val="single" w:sz="4" w:space="0" w:color="auto"/>
              <w:right w:val="single" w:sz="8" w:space="0" w:color="auto"/>
            </w:tcBorders>
            <w:shd w:val="clear" w:color="auto" w:fill="auto"/>
            <w:vAlign w:val="center"/>
            <w:hideMark/>
          </w:tcPr>
          <w:p w14:paraId="022C3EB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144" w:type="dxa"/>
            <w:tcBorders>
              <w:top w:val="nil"/>
              <w:left w:val="nil"/>
              <w:bottom w:val="single" w:sz="4" w:space="0" w:color="auto"/>
              <w:right w:val="single" w:sz="8" w:space="0" w:color="auto"/>
            </w:tcBorders>
            <w:shd w:val="clear" w:color="auto" w:fill="auto"/>
            <w:vAlign w:val="center"/>
            <w:hideMark/>
          </w:tcPr>
          <w:p w14:paraId="766EC127"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55B2D246"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7BDDF88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11</w:t>
            </w:r>
          </w:p>
        </w:tc>
        <w:tc>
          <w:tcPr>
            <w:tcW w:w="1725" w:type="dxa"/>
            <w:tcBorders>
              <w:top w:val="nil"/>
              <w:left w:val="nil"/>
              <w:bottom w:val="single" w:sz="4" w:space="0" w:color="auto"/>
              <w:right w:val="single" w:sz="8" w:space="0" w:color="auto"/>
            </w:tcBorders>
            <w:shd w:val="clear" w:color="auto" w:fill="auto"/>
            <w:vAlign w:val="center"/>
            <w:hideMark/>
          </w:tcPr>
          <w:p w14:paraId="0D95134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2B11BE3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Щебінь із природного каменю для будівельних робіт, фракція 10-20мм</w:t>
            </w:r>
          </w:p>
        </w:tc>
        <w:tc>
          <w:tcPr>
            <w:tcW w:w="942" w:type="dxa"/>
            <w:tcBorders>
              <w:top w:val="nil"/>
              <w:left w:val="nil"/>
              <w:bottom w:val="single" w:sz="4" w:space="0" w:color="auto"/>
              <w:right w:val="single" w:sz="8" w:space="0" w:color="auto"/>
            </w:tcBorders>
            <w:shd w:val="clear" w:color="auto" w:fill="auto"/>
            <w:vAlign w:val="center"/>
            <w:hideMark/>
          </w:tcPr>
          <w:p w14:paraId="62BC51D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м3</w:t>
            </w:r>
          </w:p>
        </w:tc>
        <w:tc>
          <w:tcPr>
            <w:tcW w:w="1137" w:type="dxa"/>
            <w:tcBorders>
              <w:top w:val="nil"/>
              <w:left w:val="nil"/>
              <w:bottom w:val="single" w:sz="4" w:space="0" w:color="auto"/>
              <w:right w:val="single" w:sz="8" w:space="0" w:color="auto"/>
            </w:tcBorders>
            <w:shd w:val="clear" w:color="auto" w:fill="auto"/>
            <w:vAlign w:val="center"/>
            <w:hideMark/>
          </w:tcPr>
          <w:p w14:paraId="6D9CDF4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13,9872</w:t>
            </w:r>
          </w:p>
        </w:tc>
        <w:tc>
          <w:tcPr>
            <w:tcW w:w="1144" w:type="dxa"/>
            <w:tcBorders>
              <w:top w:val="nil"/>
              <w:left w:val="nil"/>
              <w:bottom w:val="single" w:sz="4" w:space="0" w:color="auto"/>
              <w:right w:val="single" w:sz="8" w:space="0" w:color="auto"/>
            </w:tcBorders>
            <w:shd w:val="clear" w:color="auto" w:fill="auto"/>
            <w:vAlign w:val="center"/>
            <w:hideMark/>
          </w:tcPr>
          <w:p w14:paraId="362F754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4CF32C4B" w14:textId="77777777" w:rsidTr="007D0E5A">
        <w:trPr>
          <w:trHeight w:val="30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4839AB1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725" w:type="dxa"/>
            <w:tcBorders>
              <w:top w:val="nil"/>
              <w:left w:val="nil"/>
              <w:bottom w:val="single" w:sz="4" w:space="0" w:color="auto"/>
              <w:right w:val="single" w:sz="8" w:space="0" w:color="auto"/>
            </w:tcBorders>
            <w:shd w:val="clear" w:color="auto" w:fill="auto"/>
            <w:vAlign w:val="center"/>
            <w:hideMark/>
          </w:tcPr>
          <w:p w14:paraId="676534C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30A74CB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10,00%</w:t>
            </w:r>
          </w:p>
        </w:tc>
        <w:tc>
          <w:tcPr>
            <w:tcW w:w="942" w:type="dxa"/>
            <w:tcBorders>
              <w:top w:val="nil"/>
              <w:left w:val="nil"/>
              <w:bottom w:val="single" w:sz="4" w:space="0" w:color="auto"/>
              <w:right w:val="single" w:sz="8" w:space="0" w:color="auto"/>
            </w:tcBorders>
            <w:shd w:val="clear" w:color="auto" w:fill="auto"/>
            <w:vAlign w:val="center"/>
            <w:hideMark/>
          </w:tcPr>
          <w:p w14:paraId="1D37548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137" w:type="dxa"/>
            <w:tcBorders>
              <w:top w:val="nil"/>
              <w:left w:val="nil"/>
              <w:bottom w:val="single" w:sz="4" w:space="0" w:color="auto"/>
              <w:right w:val="single" w:sz="8" w:space="0" w:color="auto"/>
            </w:tcBorders>
            <w:shd w:val="clear" w:color="auto" w:fill="auto"/>
            <w:vAlign w:val="center"/>
            <w:hideMark/>
          </w:tcPr>
          <w:p w14:paraId="6EB1F05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1144" w:type="dxa"/>
            <w:tcBorders>
              <w:top w:val="nil"/>
              <w:left w:val="nil"/>
              <w:bottom w:val="single" w:sz="4" w:space="0" w:color="auto"/>
              <w:right w:val="single" w:sz="8" w:space="0" w:color="auto"/>
            </w:tcBorders>
            <w:shd w:val="clear" w:color="auto" w:fill="auto"/>
            <w:vAlign w:val="center"/>
            <w:hideMark/>
          </w:tcPr>
          <w:p w14:paraId="3B5F2AA1"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18677EC1"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27F70FD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12</w:t>
            </w:r>
          </w:p>
        </w:tc>
        <w:tc>
          <w:tcPr>
            <w:tcW w:w="1725" w:type="dxa"/>
            <w:tcBorders>
              <w:top w:val="nil"/>
              <w:left w:val="nil"/>
              <w:bottom w:val="single" w:sz="4" w:space="0" w:color="auto"/>
              <w:right w:val="single" w:sz="8" w:space="0" w:color="auto"/>
            </w:tcBorders>
            <w:shd w:val="clear" w:color="auto" w:fill="auto"/>
            <w:vAlign w:val="center"/>
            <w:hideMark/>
          </w:tcPr>
          <w:p w14:paraId="4C286A3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457FFDD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Щебінь із природного каменю для будівельних робіт, фракція 5-10мм</w:t>
            </w:r>
          </w:p>
        </w:tc>
        <w:tc>
          <w:tcPr>
            <w:tcW w:w="942" w:type="dxa"/>
            <w:tcBorders>
              <w:top w:val="nil"/>
              <w:left w:val="nil"/>
              <w:bottom w:val="single" w:sz="4" w:space="0" w:color="auto"/>
              <w:right w:val="single" w:sz="8" w:space="0" w:color="auto"/>
            </w:tcBorders>
            <w:shd w:val="clear" w:color="auto" w:fill="auto"/>
            <w:vAlign w:val="center"/>
            <w:hideMark/>
          </w:tcPr>
          <w:p w14:paraId="5A3A524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м3</w:t>
            </w:r>
          </w:p>
        </w:tc>
        <w:tc>
          <w:tcPr>
            <w:tcW w:w="1137" w:type="dxa"/>
            <w:tcBorders>
              <w:top w:val="nil"/>
              <w:left w:val="nil"/>
              <w:bottom w:val="single" w:sz="4" w:space="0" w:color="auto"/>
              <w:right w:val="single" w:sz="8" w:space="0" w:color="auto"/>
            </w:tcBorders>
            <w:shd w:val="clear" w:color="auto" w:fill="auto"/>
            <w:vAlign w:val="center"/>
            <w:hideMark/>
          </w:tcPr>
          <w:p w14:paraId="0A7490CC"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6,9936</w:t>
            </w:r>
          </w:p>
        </w:tc>
        <w:tc>
          <w:tcPr>
            <w:tcW w:w="1144" w:type="dxa"/>
            <w:tcBorders>
              <w:top w:val="nil"/>
              <w:left w:val="nil"/>
              <w:bottom w:val="single" w:sz="4" w:space="0" w:color="auto"/>
              <w:right w:val="single" w:sz="8" w:space="0" w:color="auto"/>
            </w:tcBorders>
            <w:shd w:val="clear" w:color="auto" w:fill="auto"/>
            <w:vAlign w:val="center"/>
            <w:hideMark/>
          </w:tcPr>
          <w:p w14:paraId="34E38B6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712E5341" w14:textId="77777777" w:rsidTr="007D0E5A">
        <w:trPr>
          <w:trHeight w:val="30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55767C8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13</w:t>
            </w:r>
          </w:p>
        </w:tc>
        <w:tc>
          <w:tcPr>
            <w:tcW w:w="1725" w:type="dxa"/>
            <w:tcBorders>
              <w:top w:val="nil"/>
              <w:left w:val="nil"/>
              <w:bottom w:val="single" w:sz="4" w:space="0" w:color="auto"/>
              <w:right w:val="single" w:sz="8" w:space="0" w:color="auto"/>
            </w:tcBorders>
            <w:shd w:val="clear" w:color="auto" w:fill="auto"/>
            <w:vAlign w:val="center"/>
            <w:hideMark/>
          </w:tcPr>
          <w:p w14:paraId="3D93BBF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КР18-58-1</w:t>
            </w:r>
          </w:p>
        </w:tc>
        <w:tc>
          <w:tcPr>
            <w:tcW w:w="4054" w:type="dxa"/>
            <w:tcBorders>
              <w:top w:val="nil"/>
              <w:left w:val="nil"/>
              <w:bottom w:val="single" w:sz="4" w:space="0" w:color="auto"/>
              <w:right w:val="single" w:sz="8" w:space="0" w:color="auto"/>
            </w:tcBorders>
            <w:shd w:val="clear" w:color="auto" w:fill="auto"/>
            <w:vAlign w:val="center"/>
            <w:hideMark/>
          </w:tcPr>
          <w:p w14:paraId="679E5DF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Розливання в“яжучих матеріалі(07л/кв.м.)</w:t>
            </w:r>
          </w:p>
        </w:tc>
        <w:tc>
          <w:tcPr>
            <w:tcW w:w="942" w:type="dxa"/>
            <w:tcBorders>
              <w:top w:val="nil"/>
              <w:left w:val="nil"/>
              <w:bottom w:val="single" w:sz="4" w:space="0" w:color="auto"/>
              <w:right w:val="single" w:sz="8" w:space="0" w:color="auto"/>
            </w:tcBorders>
            <w:shd w:val="clear" w:color="auto" w:fill="auto"/>
            <w:vAlign w:val="center"/>
            <w:hideMark/>
          </w:tcPr>
          <w:p w14:paraId="41880D99"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1т</w:t>
            </w:r>
          </w:p>
        </w:tc>
        <w:tc>
          <w:tcPr>
            <w:tcW w:w="1137" w:type="dxa"/>
            <w:tcBorders>
              <w:top w:val="nil"/>
              <w:left w:val="nil"/>
              <w:bottom w:val="single" w:sz="4" w:space="0" w:color="auto"/>
              <w:right w:val="single" w:sz="8" w:space="0" w:color="auto"/>
            </w:tcBorders>
            <w:shd w:val="clear" w:color="auto" w:fill="auto"/>
            <w:vAlign w:val="center"/>
            <w:hideMark/>
          </w:tcPr>
          <w:p w14:paraId="1B7E6EE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0,3472</w:t>
            </w:r>
          </w:p>
        </w:tc>
        <w:tc>
          <w:tcPr>
            <w:tcW w:w="1144" w:type="dxa"/>
            <w:tcBorders>
              <w:top w:val="nil"/>
              <w:left w:val="nil"/>
              <w:bottom w:val="single" w:sz="4" w:space="0" w:color="auto"/>
              <w:right w:val="single" w:sz="8" w:space="0" w:color="auto"/>
            </w:tcBorders>
            <w:shd w:val="clear" w:color="auto" w:fill="auto"/>
            <w:vAlign w:val="center"/>
            <w:hideMark/>
          </w:tcPr>
          <w:p w14:paraId="5C70DF2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62AAC7FA"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193CCE4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14</w:t>
            </w:r>
          </w:p>
        </w:tc>
        <w:tc>
          <w:tcPr>
            <w:tcW w:w="1725" w:type="dxa"/>
            <w:tcBorders>
              <w:top w:val="nil"/>
              <w:left w:val="nil"/>
              <w:bottom w:val="single" w:sz="4" w:space="0" w:color="auto"/>
              <w:right w:val="single" w:sz="8" w:space="0" w:color="auto"/>
            </w:tcBorders>
            <w:shd w:val="clear" w:color="auto" w:fill="auto"/>
            <w:vAlign w:val="center"/>
            <w:hideMark/>
          </w:tcPr>
          <w:p w14:paraId="4CC1BEA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Кр18-43-1</w:t>
            </w:r>
          </w:p>
        </w:tc>
        <w:tc>
          <w:tcPr>
            <w:tcW w:w="4054" w:type="dxa"/>
            <w:tcBorders>
              <w:top w:val="nil"/>
              <w:left w:val="nil"/>
              <w:bottom w:val="single" w:sz="4" w:space="0" w:color="auto"/>
              <w:right w:val="single" w:sz="8" w:space="0" w:color="auto"/>
            </w:tcBorders>
            <w:shd w:val="clear" w:color="auto" w:fill="auto"/>
            <w:vAlign w:val="center"/>
            <w:hideMark/>
          </w:tcPr>
          <w:p w14:paraId="3FBCC0A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Улаштування покриттів товщиною 4см із гарячих асфальтобетонних сумішей</w:t>
            </w:r>
          </w:p>
        </w:tc>
        <w:tc>
          <w:tcPr>
            <w:tcW w:w="942" w:type="dxa"/>
            <w:tcBorders>
              <w:top w:val="nil"/>
              <w:left w:val="nil"/>
              <w:bottom w:val="single" w:sz="4" w:space="0" w:color="auto"/>
              <w:right w:val="single" w:sz="8" w:space="0" w:color="auto"/>
            </w:tcBorders>
            <w:shd w:val="clear" w:color="auto" w:fill="auto"/>
            <w:vAlign w:val="center"/>
            <w:hideMark/>
          </w:tcPr>
          <w:p w14:paraId="4736826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100м2</w:t>
            </w:r>
          </w:p>
        </w:tc>
        <w:tc>
          <w:tcPr>
            <w:tcW w:w="1137" w:type="dxa"/>
            <w:tcBorders>
              <w:top w:val="nil"/>
              <w:left w:val="nil"/>
              <w:bottom w:val="single" w:sz="4" w:space="0" w:color="auto"/>
              <w:right w:val="single" w:sz="8" w:space="0" w:color="auto"/>
            </w:tcBorders>
            <w:shd w:val="clear" w:color="auto" w:fill="auto"/>
            <w:vAlign w:val="center"/>
            <w:hideMark/>
          </w:tcPr>
          <w:p w14:paraId="11369AAB"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4,96</w:t>
            </w:r>
          </w:p>
        </w:tc>
        <w:tc>
          <w:tcPr>
            <w:tcW w:w="1144" w:type="dxa"/>
            <w:tcBorders>
              <w:top w:val="nil"/>
              <w:left w:val="nil"/>
              <w:bottom w:val="single" w:sz="4" w:space="0" w:color="auto"/>
              <w:right w:val="single" w:sz="8" w:space="0" w:color="auto"/>
            </w:tcBorders>
            <w:shd w:val="clear" w:color="auto" w:fill="auto"/>
            <w:vAlign w:val="center"/>
            <w:hideMark/>
          </w:tcPr>
          <w:p w14:paraId="76D84A6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70A7E538"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4CC6A02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15</w:t>
            </w:r>
          </w:p>
        </w:tc>
        <w:tc>
          <w:tcPr>
            <w:tcW w:w="1725" w:type="dxa"/>
            <w:tcBorders>
              <w:top w:val="nil"/>
              <w:left w:val="nil"/>
              <w:bottom w:val="single" w:sz="4" w:space="0" w:color="auto"/>
              <w:right w:val="single" w:sz="8" w:space="0" w:color="auto"/>
            </w:tcBorders>
            <w:shd w:val="clear" w:color="auto" w:fill="auto"/>
            <w:vAlign w:val="center"/>
            <w:hideMark/>
          </w:tcPr>
          <w:p w14:paraId="7AFAEC4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КР18-43-2(к=2)</w:t>
            </w:r>
          </w:p>
        </w:tc>
        <w:tc>
          <w:tcPr>
            <w:tcW w:w="4054" w:type="dxa"/>
            <w:tcBorders>
              <w:top w:val="nil"/>
              <w:left w:val="nil"/>
              <w:bottom w:val="single" w:sz="4" w:space="0" w:color="auto"/>
              <w:right w:val="single" w:sz="8" w:space="0" w:color="auto"/>
            </w:tcBorders>
            <w:shd w:val="clear" w:color="auto" w:fill="auto"/>
            <w:vAlign w:val="center"/>
            <w:hideMark/>
          </w:tcPr>
          <w:p w14:paraId="07485B0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На кожні 0,5см зміни товщини шару додавати або виключати до норми 18-43-1(до 5см)</w:t>
            </w:r>
          </w:p>
        </w:tc>
        <w:tc>
          <w:tcPr>
            <w:tcW w:w="942" w:type="dxa"/>
            <w:tcBorders>
              <w:top w:val="nil"/>
              <w:left w:val="nil"/>
              <w:bottom w:val="single" w:sz="4" w:space="0" w:color="auto"/>
              <w:right w:val="single" w:sz="8" w:space="0" w:color="auto"/>
            </w:tcBorders>
            <w:shd w:val="clear" w:color="auto" w:fill="auto"/>
            <w:vAlign w:val="center"/>
            <w:hideMark/>
          </w:tcPr>
          <w:p w14:paraId="7DD81A2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100м2</w:t>
            </w:r>
          </w:p>
        </w:tc>
        <w:tc>
          <w:tcPr>
            <w:tcW w:w="1137" w:type="dxa"/>
            <w:tcBorders>
              <w:top w:val="nil"/>
              <w:left w:val="nil"/>
              <w:bottom w:val="single" w:sz="4" w:space="0" w:color="auto"/>
              <w:right w:val="single" w:sz="8" w:space="0" w:color="auto"/>
            </w:tcBorders>
            <w:shd w:val="clear" w:color="auto" w:fill="auto"/>
            <w:vAlign w:val="center"/>
            <w:hideMark/>
          </w:tcPr>
          <w:p w14:paraId="666FBCA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4,96</w:t>
            </w:r>
          </w:p>
        </w:tc>
        <w:tc>
          <w:tcPr>
            <w:tcW w:w="1144" w:type="dxa"/>
            <w:tcBorders>
              <w:top w:val="nil"/>
              <w:left w:val="nil"/>
              <w:bottom w:val="single" w:sz="4" w:space="0" w:color="auto"/>
              <w:right w:val="single" w:sz="8" w:space="0" w:color="auto"/>
            </w:tcBorders>
            <w:shd w:val="clear" w:color="auto" w:fill="auto"/>
            <w:vAlign w:val="center"/>
            <w:hideMark/>
          </w:tcPr>
          <w:p w14:paraId="67A644B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6DDFC056" w14:textId="77777777" w:rsidTr="007D0E5A">
        <w:trPr>
          <w:trHeight w:val="102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74117805"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16</w:t>
            </w:r>
          </w:p>
        </w:tc>
        <w:tc>
          <w:tcPr>
            <w:tcW w:w="1725" w:type="dxa"/>
            <w:tcBorders>
              <w:top w:val="nil"/>
              <w:left w:val="nil"/>
              <w:bottom w:val="single" w:sz="4" w:space="0" w:color="auto"/>
              <w:right w:val="single" w:sz="8" w:space="0" w:color="auto"/>
            </w:tcBorders>
            <w:shd w:val="clear" w:color="auto" w:fill="auto"/>
            <w:vAlign w:val="center"/>
            <w:hideMark/>
          </w:tcPr>
          <w:p w14:paraId="5D36608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c>
          <w:tcPr>
            <w:tcW w:w="4054" w:type="dxa"/>
            <w:tcBorders>
              <w:top w:val="nil"/>
              <w:left w:val="nil"/>
              <w:bottom w:val="single" w:sz="4" w:space="0" w:color="auto"/>
              <w:right w:val="single" w:sz="8" w:space="0" w:color="auto"/>
            </w:tcBorders>
            <w:shd w:val="clear" w:color="auto" w:fill="auto"/>
            <w:vAlign w:val="center"/>
            <w:hideMark/>
          </w:tcPr>
          <w:p w14:paraId="0A233AD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Суміші асфальтобетонні гарячі і теплі (асфальтобетон щільний) (дорожні) (аеродромні), що застосовуються у верхніх шарах покриттів, дрібнозерністі, тип А, марка1</w:t>
            </w:r>
          </w:p>
        </w:tc>
        <w:tc>
          <w:tcPr>
            <w:tcW w:w="942" w:type="dxa"/>
            <w:tcBorders>
              <w:top w:val="nil"/>
              <w:left w:val="nil"/>
              <w:bottom w:val="single" w:sz="4" w:space="0" w:color="auto"/>
              <w:right w:val="single" w:sz="8" w:space="0" w:color="auto"/>
            </w:tcBorders>
            <w:shd w:val="clear" w:color="auto" w:fill="auto"/>
            <w:vAlign w:val="center"/>
            <w:hideMark/>
          </w:tcPr>
          <w:p w14:paraId="0494613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т</w:t>
            </w:r>
          </w:p>
        </w:tc>
        <w:tc>
          <w:tcPr>
            <w:tcW w:w="1137" w:type="dxa"/>
            <w:tcBorders>
              <w:top w:val="nil"/>
              <w:left w:val="nil"/>
              <w:bottom w:val="single" w:sz="4" w:space="0" w:color="auto"/>
              <w:right w:val="single" w:sz="8" w:space="0" w:color="auto"/>
            </w:tcBorders>
            <w:shd w:val="clear" w:color="auto" w:fill="auto"/>
            <w:vAlign w:val="center"/>
            <w:hideMark/>
          </w:tcPr>
          <w:p w14:paraId="4B61FCB4"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59,9168</w:t>
            </w:r>
          </w:p>
        </w:tc>
        <w:tc>
          <w:tcPr>
            <w:tcW w:w="1144" w:type="dxa"/>
            <w:tcBorders>
              <w:top w:val="nil"/>
              <w:left w:val="nil"/>
              <w:bottom w:val="single" w:sz="4" w:space="0" w:color="auto"/>
              <w:right w:val="single" w:sz="8" w:space="0" w:color="auto"/>
            </w:tcBorders>
            <w:shd w:val="clear" w:color="auto" w:fill="auto"/>
            <w:vAlign w:val="center"/>
            <w:hideMark/>
          </w:tcPr>
          <w:p w14:paraId="0928660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30EF8048"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3BE2854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17</w:t>
            </w:r>
          </w:p>
        </w:tc>
        <w:tc>
          <w:tcPr>
            <w:tcW w:w="1725" w:type="dxa"/>
            <w:tcBorders>
              <w:top w:val="nil"/>
              <w:left w:val="nil"/>
              <w:bottom w:val="single" w:sz="4" w:space="0" w:color="auto"/>
              <w:right w:val="single" w:sz="8" w:space="0" w:color="auto"/>
            </w:tcBorders>
            <w:shd w:val="clear" w:color="auto" w:fill="auto"/>
            <w:vAlign w:val="center"/>
            <w:hideMark/>
          </w:tcPr>
          <w:p w14:paraId="7C1EB23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КР18-54-11</w:t>
            </w:r>
          </w:p>
        </w:tc>
        <w:tc>
          <w:tcPr>
            <w:tcW w:w="4054" w:type="dxa"/>
            <w:tcBorders>
              <w:top w:val="nil"/>
              <w:left w:val="nil"/>
              <w:bottom w:val="single" w:sz="4" w:space="0" w:color="auto"/>
              <w:right w:val="single" w:sz="8" w:space="0" w:color="auto"/>
            </w:tcBorders>
            <w:shd w:val="clear" w:color="auto" w:fill="auto"/>
            <w:vAlign w:val="center"/>
            <w:hideMark/>
          </w:tcPr>
          <w:p w14:paraId="40A7597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Укріплення узбіччя піщано-щебеновою сумішшю товщиною 10см</w:t>
            </w:r>
          </w:p>
        </w:tc>
        <w:tc>
          <w:tcPr>
            <w:tcW w:w="942" w:type="dxa"/>
            <w:tcBorders>
              <w:top w:val="nil"/>
              <w:left w:val="nil"/>
              <w:bottom w:val="single" w:sz="4" w:space="0" w:color="auto"/>
              <w:right w:val="single" w:sz="8" w:space="0" w:color="auto"/>
            </w:tcBorders>
            <w:shd w:val="clear" w:color="auto" w:fill="auto"/>
            <w:vAlign w:val="center"/>
            <w:hideMark/>
          </w:tcPr>
          <w:p w14:paraId="6F1F3B42"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100м2</w:t>
            </w:r>
          </w:p>
        </w:tc>
        <w:tc>
          <w:tcPr>
            <w:tcW w:w="1137" w:type="dxa"/>
            <w:tcBorders>
              <w:top w:val="nil"/>
              <w:left w:val="nil"/>
              <w:bottom w:val="single" w:sz="4" w:space="0" w:color="auto"/>
              <w:right w:val="single" w:sz="8" w:space="0" w:color="auto"/>
            </w:tcBorders>
            <w:shd w:val="clear" w:color="auto" w:fill="auto"/>
            <w:vAlign w:val="center"/>
            <w:hideMark/>
          </w:tcPr>
          <w:p w14:paraId="1C3152C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0,18</w:t>
            </w:r>
          </w:p>
        </w:tc>
        <w:tc>
          <w:tcPr>
            <w:tcW w:w="1144" w:type="dxa"/>
            <w:tcBorders>
              <w:top w:val="nil"/>
              <w:left w:val="nil"/>
              <w:bottom w:val="single" w:sz="4" w:space="0" w:color="auto"/>
              <w:right w:val="single" w:sz="8" w:space="0" w:color="auto"/>
            </w:tcBorders>
            <w:shd w:val="clear" w:color="auto" w:fill="auto"/>
            <w:vAlign w:val="center"/>
            <w:hideMark/>
          </w:tcPr>
          <w:p w14:paraId="2B427E2E"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6C800F5A" w14:textId="77777777" w:rsidTr="007D0E5A">
        <w:trPr>
          <w:trHeight w:val="510"/>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6F190E4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18</w:t>
            </w:r>
          </w:p>
        </w:tc>
        <w:tc>
          <w:tcPr>
            <w:tcW w:w="1725" w:type="dxa"/>
            <w:tcBorders>
              <w:top w:val="nil"/>
              <w:left w:val="nil"/>
              <w:bottom w:val="single" w:sz="4" w:space="0" w:color="auto"/>
              <w:right w:val="single" w:sz="8" w:space="0" w:color="auto"/>
            </w:tcBorders>
            <w:shd w:val="clear" w:color="auto" w:fill="auto"/>
            <w:vAlign w:val="center"/>
            <w:hideMark/>
          </w:tcPr>
          <w:p w14:paraId="2F4524D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КР18-54-12(к=5)</w:t>
            </w:r>
          </w:p>
        </w:tc>
        <w:tc>
          <w:tcPr>
            <w:tcW w:w="4054" w:type="dxa"/>
            <w:tcBorders>
              <w:top w:val="nil"/>
              <w:left w:val="nil"/>
              <w:bottom w:val="single" w:sz="4" w:space="0" w:color="auto"/>
              <w:right w:val="single" w:sz="8" w:space="0" w:color="auto"/>
            </w:tcBorders>
            <w:shd w:val="clear" w:color="auto" w:fill="auto"/>
            <w:vAlign w:val="center"/>
            <w:hideMark/>
          </w:tcPr>
          <w:p w14:paraId="0AA21EC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На кожний 1см зміни товщини шару додавати або виключати до норм 18-54-11</w:t>
            </w:r>
          </w:p>
        </w:tc>
        <w:tc>
          <w:tcPr>
            <w:tcW w:w="942" w:type="dxa"/>
            <w:tcBorders>
              <w:top w:val="nil"/>
              <w:left w:val="nil"/>
              <w:bottom w:val="single" w:sz="4" w:space="0" w:color="auto"/>
              <w:right w:val="single" w:sz="8" w:space="0" w:color="auto"/>
            </w:tcBorders>
            <w:shd w:val="clear" w:color="auto" w:fill="auto"/>
            <w:vAlign w:val="center"/>
            <w:hideMark/>
          </w:tcPr>
          <w:p w14:paraId="08844CC8"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100м2</w:t>
            </w:r>
          </w:p>
        </w:tc>
        <w:tc>
          <w:tcPr>
            <w:tcW w:w="1137" w:type="dxa"/>
            <w:tcBorders>
              <w:top w:val="nil"/>
              <w:left w:val="nil"/>
              <w:bottom w:val="single" w:sz="4" w:space="0" w:color="auto"/>
              <w:right w:val="single" w:sz="8" w:space="0" w:color="auto"/>
            </w:tcBorders>
            <w:shd w:val="clear" w:color="auto" w:fill="auto"/>
            <w:vAlign w:val="center"/>
            <w:hideMark/>
          </w:tcPr>
          <w:p w14:paraId="568251DF"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0,18</w:t>
            </w:r>
          </w:p>
        </w:tc>
        <w:tc>
          <w:tcPr>
            <w:tcW w:w="1144" w:type="dxa"/>
            <w:tcBorders>
              <w:top w:val="nil"/>
              <w:left w:val="nil"/>
              <w:bottom w:val="single" w:sz="4" w:space="0" w:color="auto"/>
              <w:right w:val="single" w:sz="8" w:space="0" w:color="auto"/>
            </w:tcBorders>
            <w:shd w:val="clear" w:color="auto" w:fill="auto"/>
            <w:vAlign w:val="center"/>
            <w:hideMark/>
          </w:tcPr>
          <w:p w14:paraId="608BC136"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r w:rsidR="00A42C8B" w:rsidRPr="00A42C8B" w14:paraId="51F018E5" w14:textId="77777777" w:rsidTr="007D0E5A">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9EEA1"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lastRenderedPageBreak/>
              <w:t>19</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4EA43E9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КР1-7-2</w:t>
            </w:r>
          </w:p>
        </w:tc>
        <w:tc>
          <w:tcPr>
            <w:tcW w:w="4054" w:type="dxa"/>
            <w:tcBorders>
              <w:top w:val="single" w:sz="4" w:space="0" w:color="auto"/>
              <w:left w:val="nil"/>
              <w:bottom w:val="single" w:sz="4" w:space="0" w:color="auto"/>
              <w:right w:val="single" w:sz="4" w:space="0" w:color="auto"/>
            </w:tcBorders>
            <w:shd w:val="clear" w:color="auto" w:fill="auto"/>
            <w:vAlign w:val="bottom"/>
            <w:hideMark/>
          </w:tcPr>
          <w:p w14:paraId="0E016E10"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Планування площ механізованим способом, група грунту2</w:t>
            </w:r>
          </w:p>
        </w:tc>
        <w:tc>
          <w:tcPr>
            <w:tcW w:w="942" w:type="dxa"/>
            <w:tcBorders>
              <w:top w:val="single" w:sz="4" w:space="0" w:color="auto"/>
              <w:left w:val="nil"/>
              <w:bottom w:val="single" w:sz="4" w:space="0" w:color="auto"/>
              <w:right w:val="single" w:sz="4" w:space="0" w:color="auto"/>
            </w:tcBorders>
            <w:shd w:val="clear" w:color="auto" w:fill="auto"/>
            <w:vAlign w:val="bottom"/>
            <w:hideMark/>
          </w:tcPr>
          <w:p w14:paraId="67E81B6D"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1000м2</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4E71069A"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0,05</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61173243" w14:textId="77777777" w:rsidR="00A42C8B" w:rsidRPr="00A42C8B" w:rsidRDefault="00A42C8B" w:rsidP="00A42C8B">
            <w:pPr>
              <w:spacing w:after="0" w:line="240" w:lineRule="auto"/>
              <w:rPr>
                <w:rFonts w:ascii="Times New Roman" w:eastAsia="Times New Roman" w:hAnsi="Times New Roman" w:cs="Times New Roman"/>
                <w:color w:val="000000"/>
                <w:lang w:eastAsia="uk-UA"/>
              </w:rPr>
            </w:pPr>
            <w:r w:rsidRPr="00A42C8B">
              <w:rPr>
                <w:rFonts w:ascii="Times New Roman" w:eastAsia="Times New Roman" w:hAnsi="Times New Roman" w:cs="Times New Roman"/>
                <w:color w:val="000000"/>
                <w:lang w:eastAsia="uk-UA"/>
              </w:rPr>
              <w:t> </w:t>
            </w:r>
          </w:p>
        </w:tc>
      </w:tr>
    </w:tbl>
    <w:p w14:paraId="02F7D9E5" w14:textId="77777777" w:rsidR="00A42C8B" w:rsidRPr="00A42C8B" w:rsidRDefault="00A42C8B" w:rsidP="00A42C8B">
      <w:pPr>
        <w:tabs>
          <w:tab w:val="left" w:pos="426"/>
        </w:tabs>
        <w:spacing w:after="0" w:line="240" w:lineRule="auto"/>
        <w:rPr>
          <w:rFonts w:ascii="Times New Roman" w:eastAsia="Arial" w:hAnsi="Times New Roman" w:cs="Times New Roman"/>
          <w:bCs/>
          <w:lang w:eastAsia="ru-RU"/>
        </w:rPr>
      </w:pPr>
    </w:p>
    <w:p w14:paraId="796ECB5A"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від Замовника про огляд об’єкта, підписана(ий) з боку Замовника та Учасника.</w:t>
      </w:r>
    </w:p>
    <w:p w14:paraId="2A7C3F80"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7B9CC905"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48D8B582"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w:t>
      </w:r>
    </w:p>
    <w:p w14:paraId="3CB81D42"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7E474F6E"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10BF22BA"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A4057A"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Гарантія на надані послуги з поточного ремонту не менше 3 років.</w:t>
      </w:r>
    </w:p>
    <w:p w14:paraId="2272CCE0"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292A5FA7" w14:textId="77777777" w:rsidR="00A42C8B" w:rsidRPr="00A42C8B" w:rsidRDefault="00A42C8B" w:rsidP="00BE404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A42C8B">
        <w:rPr>
          <w:rFonts w:ascii="Times New Roman" w:eastAsia="Times New Roman"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9A45EEF" w14:textId="77777777" w:rsidR="00A42C8B" w:rsidRPr="00A42C8B" w:rsidRDefault="00A42C8B" w:rsidP="00A42C8B">
      <w:pPr>
        <w:widowControl w:val="0"/>
        <w:tabs>
          <w:tab w:val="left" w:pos="925"/>
        </w:tabs>
        <w:spacing w:after="0" w:line="262" w:lineRule="auto"/>
        <w:ind w:left="400"/>
        <w:jc w:val="both"/>
        <w:rPr>
          <w:rFonts w:ascii="Times New Roman" w:eastAsia="Times New Roman" w:hAnsi="Times New Roman" w:cs="Times New Roman"/>
          <w:lang w:eastAsia="ru-RU"/>
        </w:rPr>
      </w:pPr>
    </w:p>
    <w:p w14:paraId="11DAEBCA" w14:textId="77777777" w:rsidR="00A42C8B" w:rsidRPr="00A42C8B" w:rsidRDefault="00A42C8B" w:rsidP="00A42C8B">
      <w:pPr>
        <w:tabs>
          <w:tab w:val="left" w:pos="426"/>
        </w:tabs>
        <w:spacing w:after="0" w:line="240" w:lineRule="auto"/>
        <w:jc w:val="both"/>
        <w:rPr>
          <w:rFonts w:ascii="Times New Roman" w:eastAsia="Arial" w:hAnsi="Times New Roman" w:cs="Times New Roman"/>
          <w:b/>
          <w:bCs/>
          <w:i/>
          <w:lang w:eastAsia="ru-RU"/>
        </w:rPr>
      </w:pPr>
      <w:r w:rsidRPr="00A42C8B">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BE404B"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BE4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242203"/>
    <w:rsid w:val="002A205F"/>
    <w:rsid w:val="002B72AC"/>
    <w:rsid w:val="002C12FC"/>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72904"/>
    <w:rsid w:val="00B76851"/>
    <w:rsid w:val="00BE404B"/>
    <w:rsid w:val="00BF014B"/>
    <w:rsid w:val="00C607E0"/>
    <w:rsid w:val="00C70250"/>
    <w:rsid w:val="00C95BB7"/>
    <w:rsid w:val="00D05B79"/>
    <w:rsid w:val="00D33C43"/>
    <w:rsid w:val="00D626B8"/>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29</cp:revision>
  <cp:lastPrinted>2022-01-28T12:45:00Z</cp:lastPrinted>
  <dcterms:created xsi:type="dcterms:W3CDTF">2021-03-31T12:56:00Z</dcterms:created>
  <dcterms:modified xsi:type="dcterms:W3CDTF">2023-05-24T13:40:00Z</dcterms:modified>
</cp:coreProperties>
</file>